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D2" w:rsidRPr="009C2C81" w:rsidRDefault="005724D2" w:rsidP="005724D2">
      <w:pPr>
        <w:pStyle w:val="yiv8755249185msonormal"/>
        <w:shd w:val="clear" w:color="auto" w:fill="FFFFFF"/>
        <w:spacing w:before="120" w:beforeAutospacing="0" w:after="120" w:afterAutospacing="0" w:line="360" w:lineRule="auto"/>
        <w:ind w:left="90" w:right="432"/>
        <w:jc w:val="both"/>
        <w:rPr>
          <w:rFonts w:asciiTheme="minorHAnsi" w:hAnsiTheme="minorHAnsi" w:cs="Calibri"/>
          <w:b/>
          <w:color w:val="FF0000"/>
          <w:lang w:val="en-US"/>
        </w:rPr>
      </w:pPr>
      <w:r w:rsidRPr="009C2C81">
        <w:rPr>
          <w:rFonts w:asciiTheme="minorHAnsi" w:hAnsiTheme="minorHAnsi" w:cs="Calibri"/>
          <w:b/>
          <w:color w:val="FF0000"/>
          <w:lang w:val="en-US"/>
        </w:rPr>
        <w:t>Adherence to treatment. A key issue to reach 25 x 25 objectives.</w:t>
      </w:r>
    </w:p>
    <w:p w:rsidR="00226F52" w:rsidRPr="00A01669" w:rsidRDefault="00701637" w:rsidP="00226F52">
      <w:pPr>
        <w:autoSpaceDE w:val="0"/>
        <w:autoSpaceDN w:val="0"/>
        <w:adjustRightInd w:val="0"/>
        <w:spacing w:before="120" w:after="120" w:line="360" w:lineRule="auto"/>
        <w:ind w:left="90" w:right="432"/>
        <w:jc w:val="both"/>
        <w:rPr>
          <w:rFonts w:cstheme="minorHAnsi"/>
          <w:lang w:val="en-US"/>
        </w:rPr>
      </w:pPr>
      <w:r w:rsidRPr="00A01669">
        <w:rPr>
          <w:rFonts w:cstheme="minorHAnsi"/>
          <w:lang w:val="en-US"/>
        </w:rPr>
        <w:t>Cardiovascular disease (</w:t>
      </w:r>
      <w:r w:rsidR="00F8596A" w:rsidRPr="00A01669">
        <w:rPr>
          <w:rFonts w:cstheme="minorHAnsi"/>
          <w:lang w:val="en-US"/>
        </w:rPr>
        <w:t>CVD</w:t>
      </w:r>
      <w:r w:rsidRPr="00A01669">
        <w:rPr>
          <w:rFonts w:cstheme="minorHAnsi"/>
          <w:lang w:val="en-US"/>
        </w:rPr>
        <w:t>)</w:t>
      </w:r>
      <w:r w:rsidR="00F8596A" w:rsidRPr="00A01669">
        <w:rPr>
          <w:rFonts w:cstheme="minorHAnsi"/>
          <w:lang w:val="en-US"/>
        </w:rPr>
        <w:t xml:space="preserve"> remain</w:t>
      </w:r>
      <w:r w:rsidR="006E7A0A" w:rsidRPr="00A01669">
        <w:rPr>
          <w:rFonts w:cstheme="minorHAnsi"/>
          <w:lang w:val="en-US"/>
        </w:rPr>
        <w:t>s</w:t>
      </w:r>
      <w:r w:rsidR="00F8596A" w:rsidRPr="00A01669">
        <w:rPr>
          <w:rFonts w:cstheme="minorHAnsi"/>
          <w:lang w:val="en-US"/>
        </w:rPr>
        <w:t xml:space="preserve"> </w:t>
      </w:r>
      <w:r w:rsidR="00226F52" w:rsidRPr="00A01669">
        <w:rPr>
          <w:rFonts w:cstheme="minorHAnsi"/>
          <w:lang w:val="en-US"/>
        </w:rPr>
        <w:t xml:space="preserve">a </w:t>
      </w:r>
      <w:r w:rsidR="00F8596A" w:rsidRPr="00A01669">
        <w:rPr>
          <w:rFonts w:cstheme="minorHAnsi"/>
          <w:noProof/>
          <w:lang w:val="en-US"/>
        </w:rPr>
        <w:t>paramount</w:t>
      </w:r>
      <w:r w:rsidR="00F8596A" w:rsidRPr="00A01669">
        <w:rPr>
          <w:rFonts w:cstheme="minorHAnsi"/>
          <w:lang w:val="en-US"/>
        </w:rPr>
        <w:t xml:space="preserve"> cause of</w:t>
      </w:r>
      <w:r w:rsidR="008D01AE" w:rsidRPr="00A01669">
        <w:rPr>
          <w:rFonts w:cstheme="minorHAnsi"/>
          <w:lang w:val="en-US"/>
        </w:rPr>
        <w:t xml:space="preserve"> </w:t>
      </w:r>
      <w:r w:rsidR="00F8596A" w:rsidRPr="00A01669">
        <w:rPr>
          <w:rFonts w:cstheme="minorHAnsi"/>
          <w:lang w:val="en-US"/>
        </w:rPr>
        <w:t>mortality globally</w:t>
      </w:r>
      <w:r w:rsidR="008D01AE" w:rsidRPr="00A01669">
        <w:rPr>
          <w:rFonts w:cstheme="minorHAnsi"/>
          <w:lang w:val="en-US"/>
        </w:rPr>
        <w:t xml:space="preserve">. The treatment of CVDs has been unequivocally shown to positively impact patient-related outcomes leading to reductions in </w:t>
      </w:r>
      <w:r w:rsidR="00A72145" w:rsidRPr="00A01669">
        <w:rPr>
          <w:rFonts w:cstheme="minorHAnsi"/>
          <w:lang w:val="en-US"/>
        </w:rPr>
        <w:t xml:space="preserve">mortality, </w:t>
      </w:r>
      <w:r w:rsidR="008D01AE" w:rsidRPr="00A01669">
        <w:rPr>
          <w:rFonts w:cstheme="minorHAnsi"/>
          <w:lang w:val="en-US"/>
        </w:rPr>
        <w:t>stroke and heart failure</w:t>
      </w:r>
      <w:r w:rsidR="007B0358" w:rsidRPr="00A01669">
        <w:rPr>
          <w:rFonts w:cstheme="minorHAnsi"/>
          <w:lang w:val="en-US"/>
        </w:rPr>
        <w:t xml:space="preserve">. </w:t>
      </w:r>
      <w:r w:rsidR="00F84A54" w:rsidRPr="00A01669">
        <w:rPr>
          <w:rFonts w:cstheme="minorHAnsi"/>
          <w:lang w:val="en-US"/>
        </w:rPr>
        <w:t xml:space="preserve">(1) </w:t>
      </w:r>
    </w:p>
    <w:p w:rsidR="008D01AE" w:rsidRPr="00A01669" w:rsidRDefault="008D01AE" w:rsidP="00226F52">
      <w:pPr>
        <w:autoSpaceDE w:val="0"/>
        <w:autoSpaceDN w:val="0"/>
        <w:adjustRightInd w:val="0"/>
        <w:spacing w:before="120" w:after="120" w:line="360" w:lineRule="auto"/>
        <w:ind w:left="90" w:right="432"/>
        <w:jc w:val="both"/>
        <w:rPr>
          <w:rFonts w:cstheme="minorHAnsi"/>
          <w:lang w:val="en-US"/>
        </w:rPr>
      </w:pPr>
      <w:r w:rsidRPr="00A01669">
        <w:rPr>
          <w:rFonts w:cstheme="minorHAnsi"/>
          <w:lang w:val="en-US"/>
        </w:rPr>
        <w:t>The problem of non-adherence to cardiovascular medications</w:t>
      </w:r>
      <w:r w:rsidR="00A72145" w:rsidRPr="00A01669">
        <w:rPr>
          <w:rFonts w:cstheme="minorHAnsi"/>
          <w:lang w:val="en-US"/>
        </w:rPr>
        <w:t xml:space="preserve"> </w:t>
      </w:r>
      <w:r w:rsidRPr="00A01669">
        <w:rPr>
          <w:rFonts w:cstheme="minorHAnsi"/>
          <w:lang w:val="en-US"/>
        </w:rPr>
        <w:t xml:space="preserve">is of </w:t>
      </w:r>
      <w:r w:rsidR="007B0358" w:rsidRPr="00A01669">
        <w:rPr>
          <w:rFonts w:cstheme="minorHAnsi"/>
          <w:lang w:val="en-US"/>
        </w:rPr>
        <w:t>high</w:t>
      </w:r>
      <w:r w:rsidRPr="00A01669">
        <w:rPr>
          <w:rFonts w:cstheme="minorHAnsi"/>
          <w:lang w:val="en-US"/>
        </w:rPr>
        <w:t xml:space="preserve"> interest as it has </w:t>
      </w:r>
      <w:r w:rsidR="00226F52" w:rsidRPr="00A01669">
        <w:rPr>
          <w:rFonts w:cstheme="minorHAnsi"/>
          <w:lang w:val="en-US"/>
        </w:rPr>
        <w:t xml:space="preserve">a </w:t>
      </w:r>
      <w:r w:rsidRPr="00A01669">
        <w:rPr>
          <w:rFonts w:cstheme="minorHAnsi"/>
          <w:noProof/>
          <w:lang w:val="en-US"/>
        </w:rPr>
        <w:t>direct</w:t>
      </w:r>
      <w:r w:rsidRPr="00A01669">
        <w:rPr>
          <w:rFonts w:cstheme="minorHAnsi"/>
          <w:lang w:val="en-US"/>
        </w:rPr>
        <w:t xml:space="preserve"> impact on the disease</w:t>
      </w:r>
      <w:r w:rsidR="00A72145" w:rsidRPr="00A01669">
        <w:rPr>
          <w:rFonts w:cstheme="minorHAnsi"/>
          <w:lang w:val="en-US"/>
        </w:rPr>
        <w:t xml:space="preserve"> </w:t>
      </w:r>
      <w:r w:rsidRPr="00A01669">
        <w:rPr>
          <w:rFonts w:cstheme="minorHAnsi"/>
          <w:lang w:val="en-US"/>
        </w:rPr>
        <w:t>management, prognosis and patient’s quality of life.</w:t>
      </w:r>
    </w:p>
    <w:p w:rsidR="00F84A54" w:rsidRPr="00A01669" w:rsidRDefault="008D01AE" w:rsidP="00226F52">
      <w:pPr>
        <w:autoSpaceDE w:val="0"/>
        <w:autoSpaceDN w:val="0"/>
        <w:adjustRightInd w:val="0"/>
        <w:spacing w:before="120" w:after="120" w:line="360" w:lineRule="auto"/>
        <w:ind w:left="90" w:right="432"/>
        <w:jc w:val="both"/>
        <w:rPr>
          <w:rFonts w:cstheme="minorHAnsi"/>
          <w:lang w:val="en-US"/>
        </w:rPr>
      </w:pPr>
      <w:r w:rsidRPr="00A01669">
        <w:rPr>
          <w:rFonts w:cstheme="minorHAnsi"/>
          <w:lang w:val="en-US"/>
        </w:rPr>
        <w:t>WHO stated that treatment non-adherence is a major public health problem that may result in disease persistence</w:t>
      </w:r>
      <w:r w:rsidR="007B0358" w:rsidRPr="00A01669">
        <w:rPr>
          <w:rFonts w:cstheme="minorHAnsi"/>
          <w:lang w:val="en-US"/>
        </w:rPr>
        <w:t>.</w:t>
      </w:r>
      <w:r w:rsidRPr="00A01669">
        <w:rPr>
          <w:rFonts w:cstheme="minorHAnsi"/>
          <w:lang w:val="en-US"/>
        </w:rPr>
        <w:t xml:space="preserve"> (</w:t>
      </w:r>
      <w:r w:rsidR="00F84A54" w:rsidRPr="00A01669">
        <w:rPr>
          <w:rFonts w:cstheme="minorHAnsi"/>
          <w:lang w:val="en-US"/>
        </w:rPr>
        <w:t xml:space="preserve">2) A report by WHO estimated that </w:t>
      </w:r>
      <w:r w:rsidR="00487FA4" w:rsidRPr="00A01669">
        <w:rPr>
          <w:rFonts w:cstheme="minorHAnsi"/>
          <w:lang w:val="en-US"/>
        </w:rPr>
        <w:t xml:space="preserve">the </w:t>
      </w:r>
      <w:r w:rsidR="00F84A54" w:rsidRPr="00A01669">
        <w:rPr>
          <w:rFonts w:cstheme="minorHAnsi"/>
          <w:lang w:val="en-US"/>
        </w:rPr>
        <w:t>average rate of adherence to medication is around 50% among patients suffering from chronic diseases in developed countries and it is assumed to be lower in developing countries</w:t>
      </w:r>
      <w:r w:rsidR="007B0358" w:rsidRPr="00A01669">
        <w:rPr>
          <w:rFonts w:cstheme="minorHAnsi"/>
          <w:lang w:val="en-US"/>
        </w:rPr>
        <w:t xml:space="preserve">. </w:t>
      </w:r>
      <w:r w:rsidR="00423C7A" w:rsidRPr="00A01669">
        <w:rPr>
          <w:rFonts w:cstheme="minorHAnsi"/>
          <w:lang w:val="en-US"/>
        </w:rPr>
        <w:t>(3)</w:t>
      </w:r>
    </w:p>
    <w:p w:rsidR="00EB073A" w:rsidRPr="00A01669" w:rsidRDefault="008D01AE" w:rsidP="005724D2">
      <w:pPr>
        <w:autoSpaceDE w:val="0"/>
        <w:autoSpaceDN w:val="0"/>
        <w:adjustRightInd w:val="0"/>
        <w:spacing w:before="120" w:after="120" w:line="360" w:lineRule="auto"/>
        <w:ind w:left="90" w:right="432"/>
        <w:jc w:val="both"/>
        <w:rPr>
          <w:rFonts w:cstheme="minorHAnsi"/>
          <w:lang w:val="en-US"/>
        </w:rPr>
      </w:pPr>
      <w:r w:rsidRPr="00A01669">
        <w:rPr>
          <w:rFonts w:cstheme="minorHAnsi"/>
          <w:lang w:val="en-US"/>
        </w:rPr>
        <w:t xml:space="preserve">Adherence and persistence are classified as two dimensions of </w:t>
      </w:r>
      <w:r w:rsidR="005652FD" w:rsidRPr="00A01669">
        <w:rPr>
          <w:rFonts w:cstheme="minorHAnsi"/>
          <w:lang w:val="en-US"/>
        </w:rPr>
        <w:t>behavior related to medicine intake</w:t>
      </w:r>
      <w:r w:rsidRPr="00A01669">
        <w:rPr>
          <w:rFonts w:cstheme="minorHAnsi"/>
          <w:lang w:val="en-US"/>
        </w:rPr>
        <w:t>. The term persistence is applied</w:t>
      </w:r>
      <w:r w:rsidR="00A72145" w:rsidRPr="00A01669">
        <w:rPr>
          <w:rFonts w:cstheme="minorHAnsi"/>
          <w:lang w:val="en-US"/>
        </w:rPr>
        <w:t xml:space="preserve"> </w:t>
      </w:r>
      <w:r w:rsidRPr="00A01669">
        <w:rPr>
          <w:rFonts w:cstheme="minorHAnsi"/>
          <w:lang w:val="en-US"/>
        </w:rPr>
        <w:t>to describe the duration of time from initiation to discontinuation</w:t>
      </w:r>
      <w:r w:rsidR="00A72145" w:rsidRPr="00A01669">
        <w:rPr>
          <w:rFonts w:cstheme="minorHAnsi"/>
          <w:lang w:val="en-US"/>
        </w:rPr>
        <w:t xml:space="preserve"> </w:t>
      </w:r>
      <w:r w:rsidRPr="00A01669">
        <w:rPr>
          <w:rFonts w:cstheme="minorHAnsi"/>
          <w:lang w:val="en-US"/>
        </w:rPr>
        <w:t xml:space="preserve">of drug therapy. </w:t>
      </w:r>
      <w:r w:rsidR="00EB073A" w:rsidRPr="00A01669">
        <w:rPr>
          <w:rFonts w:cstheme="minorHAnsi"/>
          <w:lang w:val="en-US"/>
        </w:rPr>
        <w:t>Adherence describes all behaviors influencing</w:t>
      </w:r>
      <w:r w:rsidR="00A72145" w:rsidRPr="00A01669">
        <w:rPr>
          <w:rFonts w:cstheme="minorHAnsi"/>
          <w:lang w:val="en-US"/>
        </w:rPr>
        <w:t xml:space="preserve"> </w:t>
      </w:r>
      <w:r w:rsidR="00EB073A" w:rsidRPr="00A01669">
        <w:rPr>
          <w:rFonts w:cstheme="minorHAnsi"/>
          <w:lang w:val="en-US"/>
        </w:rPr>
        <w:t>patients’ outcomes, such as</w:t>
      </w:r>
      <w:r w:rsidR="007C3C25" w:rsidRPr="00A01669">
        <w:rPr>
          <w:rFonts w:cstheme="minorHAnsi"/>
          <w:lang w:val="en-US"/>
        </w:rPr>
        <w:t xml:space="preserve"> medicine-taking</w:t>
      </w:r>
      <w:r w:rsidR="00EB073A" w:rsidRPr="00A01669">
        <w:rPr>
          <w:rFonts w:cstheme="minorHAnsi"/>
          <w:lang w:val="en-US"/>
        </w:rPr>
        <w:t xml:space="preserve"> behavior, following</w:t>
      </w:r>
      <w:r w:rsidR="005724D2" w:rsidRPr="00A01669">
        <w:rPr>
          <w:rFonts w:cstheme="minorHAnsi"/>
          <w:lang w:val="en-US"/>
        </w:rPr>
        <w:t xml:space="preserve"> </w:t>
      </w:r>
      <w:r w:rsidR="00EB073A" w:rsidRPr="00A01669">
        <w:rPr>
          <w:rFonts w:cstheme="minorHAnsi"/>
          <w:lang w:val="en-US"/>
        </w:rPr>
        <w:t>dietary and lifestyle advice, vaccinations and obeying</w:t>
      </w:r>
      <w:r w:rsidR="00A72145" w:rsidRPr="00A01669">
        <w:rPr>
          <w:rFonts w:cstheme="minorHAnsi"/>
          <w:lang w:val="en-US"/>
        </w:rPr>
        <w:t xml:space="preserve"> </w:t>
      </w:r>
      <w:r w:rsidR="00EB073A" w:rsidRPr="00A01669">
        <w:rPr>
          <w:rFonts w:cstheme="minorHAnsi"/>
          <w:lang w:val="en-US"/>
        </w:rPr>
        <w:t>follow-up visits.</w:t>
      </w:r>
    </w:p>
    <w:p w:rsidR="00EB073A" w:rsidRPr="00A01669" w:rsidRDefault="00A72145" w:rsidP="00226F52">
      <w:pPr>
        <w:autoSpaceDE w:val="0"/>
        <w:autoSpaceDN w:val="0"/>
        <w:adjustRightInd w:val="0"/>
        <w:spacing w:before="120" w:after="120" w:line="360" w:lineRule="auto"/>
        <w:ind w:left="90" w:right="432"/>
        <w:jc w:val="both"/>
        <w:rPr>
          <w:rFonts w:cstheme="minorHAnsi"/>
          <w:lang w:val="en-US"/>
        </w:rPr>
      </w:pPr>
      <w:r w:rsidRPr="00A01669">
        <w:rPr>
          <w:rFonts w:cstheme="minorHAnsi"/>
          <w:lang w:val="en-US"/>
        </w:rPr>
        <w:t>Consequently, n</w:t>
      </w:r>
      <w:r w:rsidR="00EB073A" w:rsidRPr="00A01669">
        <w:rPr>
          <w:rFonts w:cstheme="minorHAnsi"/>
          <w:lang w:val="en-US"/>
        </w:rPr>
        <w:t>on-adherence can indicate a variety of conditions, such as</w:t>
      </w:r>
      <w:r w:rsidRPr="00A01669">
        <w:rPr>
          <w:rFonts w:cstheme="minorHAnsi"/>
          <w:lang w:val="en-US"/>
        </w:rPr>
        <w:t xml:space="preserve"> </w:t>
      </w:r>
      <w:r w:rsidR="00EB073A" w:rsidRPr="00A01669">
        <w:rPr>
          <w:rFonts w:cstheme="minorHAnsi"/>
          <w:lang w:val="en-US"/>
        </w:rPr>
        <w:t>not following the prescribed medical plan in general or can be</w:t>
      </w:r>
      <w:r w:rsidRPr="00A01669">
        <w:rPr>
          <w:rFonts w:cstheme="minorHAnsi"/>
          <w:lang w:val="en-US"/>
        </w:rPr>
        <w:t xml:space="preserve"> </w:t>
      </w:r>
      <w:r w:rsidR="00EB073A" w:rsidRPr="00A01669">
        <w:rPr>
          <w:rFonts w:cstheme="minorHAnsi"/>
          <w:lang w:val="en-US"/>
        </w:rPr>
        <w:t>related to non-adherence with medications, diet, medical</w:t>
      </w:r>
      <w:r w:rsidRPr="00A01669">
        <w:rPr>
          <w:rFonts w:cstheme="minorHAnsi"/>
          <w:lang w:val="en-US"/>
        </w:rPr>
        <w:t xml:space="preserve"> </w:t>
      </w:r>
      <w:r w:rsidR="00EB073A" w:rsidRPr="00A01669">
        <w:rPr>
          <w:rFonts w:cstheme="minorHAnsi"/>
          <w:lang w:val="en-US"/>
        </w:rPr>
        <w:t>appointments or refusal to stop a dangerous habit (smoking,</w:t>
      </w:r>
      <w:r w:rsidRPr="00A01669">
        <w:rPr>
          <w:rFonts w:cstheme="minorHAnsi"/>
          <w:lang w:val="en-US"/>
        </w:rPr>
        <w:t xml:space="preserve"> </w:t>
      </w:r>
      <w:r w:rsidR="00EB073A" w:rsidRPr="00A01669">
        <w:rPr>
          <w:rFonts w:cstheme="minorHAnsi"/>
          <w:lang w:val="en-US"/>
        </w:rPr>
        <w:t xml:space="preserve">illicit drug or alcohol use). </w:t>
      </w:r>
    </w:p>
    <w:p w:rsidR="00423C7A" w:rsidRPr="00A01669" w:rsidRDefault="00EB073A" w:rsidP="00226F52">
      <w:pPr>
        <w:autoSpaceDE w:val="0"/>
        <w:autoSpaceDN w:val="0"/>
        <w:adjustRightInd w:val="0"/>
        <w:spacing w:before="120" w:after="120" w:line="360" w:lineRule="auto"/>
        <w:ind w:left="90" w:right="432"/>
        <w:jc w:val="both"/>
        <w:rPr>
          <w:rFonts w:cstheme="minorHAnsi"/>
          <w:lang w:val="en-US"/>
        </w:rPr>
      </w:pPr>
      <w:r w:rsidRPr="00A01669">
        <w:rPr>
          <w:rFonts w:cstheme="minorHAnsi"/>
          <w:lang w:val="en-US"/>
        </w:rPr>
        <w:t xml:space="preserve">Non-adherence to medications has been </w:t>
      </w:r>
      <w:r w:rsidR="00423C7A" w:rsidRPr="00A01669">
        <w:rPr>
          <w:rFonts w:cstheme="minorHAnsi"/>
          <w:lang w:val="en-US"/>
        </w:rPr>
        <w:t xml:space="preserve">shown to increase mortality and </w:t>
      </w:r>
      <w:r w:rsidRPr="00A01669">
        <w:rPr>
          <w:rFonts w:cstheme="minorHAnsi"/>
          <w:lang w:val="en-US"/>
        </w:rPr>
        <w:t>hospitalizations</w:t>
      </w:r>
      <w:r w:rsidR="00701637" w:rsidRPr="00A01669">
        <w:rPr>
          <w:rFonts w:cstheme="minorHAnsi"/>
          <w:lang w:val="en-US"/>
        </w:rPr>
        <w:t xml:space="preserve">, </w:t>
      </w:r>
      <w:r w:rsidR="007B0358" w:rsidRPr="00A01669">
        <w:rPr>
          <w:rFonts w:cstheme="minorHAnsi"/>
          <w:lang w:val="en-US"/>
        </w:rPr>
        <w:t>especially</w:t>
      </w:r>
      <w:r w:rsidR="00701637" w:rsidRPr="00A01669">
        <w:rPr>
          <w:rFonts w:cstheme="minorHAnsi"/>
          <w:lang w:val="en-US"/>
        </w:rPr>
        <w:t xml:space="preserve"> after </w:t>
      </w:r>
      <w:r w:rsidR="007B0358" w:rsidRPr="00A01669">
        <w:rPr>
          <w:rFonts w:cstheme="minorHAnsi"/>
          <w:lang w:val="en-US"/>
        </w:rPr>
        <w:t>a</w:t>
      </w:r>
      <w:r w:rsidR="00701637" w:rsidRPr="00A01669">
        <w:rPr>
          <w:rFonts w:cstheme="minorHAnsi"/>
          <w:lang w:val="en-US"/>
        </w:rPr>
        <w:t xml:space="preserve"> hospitalization </w:t>
      </w:r>
      <w:r w:rsidR="00701637" w:rsidRPr="00A01669">
        <w:rPr>
          <w:rFonts w:cstheme="minorHAnsi"/>
          <w:noProof/>
          <w:lang w:val="en-US"/>
        </w:rPr>
        <w:t>due</w:t>
      </w:r>
      <w:r w:rsidR="00226F52" w:rsidRPr="00A01669">
        <w:rPr>
          <w:rFonts w:cstheme="minorHAnsi"/>
          <w:noProof/>
          <w:lang w:val="en-US"/>
        </w:rPr>
        <w:t xml:space="preserve"> to</w:t>
      </w:r>
      <w:r w:rsidR="00701637" w:rsidRPr="00A01669">
        <w:rPr>
          <w:rFonts w:cstheme="minorHAnsi"/>
          <w:lang w:val="en-US"/>
        </w:rPr>
        <w:t xml:space="preserve"> a cardiovascular disease</w:t>
      </w:r>
      <w:r w:rsidR="00423C7A" w:rsidRPr="00A01669">
        <w:rPr>
          <w:rFonts w:cstheme="minorHAnsi"/>
          <w:lang w:val="en-US"/>
        </w:rPr>
        <w:t>.</w:t>
      </w:r>
      <w:r w:rsidRPr="00A01669">
        <w:rPr>
          <w:rFonts w:cstheme="minorHAnsi"/>
          <w:lang w:val="en-US"/>
        </w:rPr>
        <w:t xml:space="preserve"> </w:t>
      </w:r>
      <w:r w:rsidR="00094286">
        <w:rPr>
          <w:rFonts w:cstheme="minorHAnsi"/>
          <w:lang w:val="en-US"/>
        </w:rPr>
        <w:t>(4)</w:t>
      </w:r>
      <w:bookmarkStart w:id="0" w:name="_GoBack"/>
      <w:bookmarkEnd w:id="0"/>
    </w:p>
    <w:p w:rsidR="00423C7A" w:rsidRPr="00A01669" w:rsidRDefault="00A72145" w:rsidP="00226F52">
      <w:pPr>
        <w:shd w:val="clear" w:color="auto" w:fill="FFFFFF"/>
        <w:spacing w:before="120" w:after="120" w:line="360" w:lineRule="auto"/>
        <w:ind w:left="90" w:right="432"/>
        <w:jc w:val="both"/>
        <w:rPr>
          <w:rFonts w:cstheme="minorHAnsi"/>
          <w:lang w:val="en-US"/>
        </w:rPr>
      </w:pPr>
      <w:r w:rsidRPr="00A01669">
        <w:rPr>
          <w:rFonts w:cstheme="minorHAnsi"/>
          <w:shd w:val="clear" w:color="auto" w:fill="FFFFFF"/>
          <w:lang w:val="en-US"/>
        </w:rPr>
        <w:t>M</w:t>
      </w:r>
      <w:r w:rsidR="00EB073A" w:rsidRPr="00A01669">
        <w:rPr>
          <w:rFonts w:cstheme="minorHAnsi"/>
          <w:shd w:val="clear" w:color="auto" w:fill="FFFFFF"/>
          <w:lang w:val="en-US"/>
        </w:rPr>
        <w:t>edication non</w:t>
      </w:r>
      <w:r w:rsidR="00A46217" w:rsidRPr="00A01669">
        <w:rPr>
          <w:rFonts w:cstheme="minorHAnsi"/>
          <w:shd w:val="clear" w:color="auto" w:fill="FFFFFF"/>
          <w:lang w:val="en-US"/>
        </w:rPr>
        <w:t>-</w:t>
      </w:r>
      <w:r w:rsidR="00EB073A" w:rsidRPr="00A01669">
        <w:rPr>
          <w:rFonts w:cstheme="minorHAnsi"/>
          <w:shd w:val="clear" w:color="auto" w:fill="FFFFFF"/>
          <w:lang w:val="en-US"/>
        </w:rPr>
        <w:t xml:space="preserve">adherence </w:t>
      </w:r>
      <w:r w:rsidRPr="00A01669">
        <w:rPr>
          <w:rFonts w:cstheme="minorHAnsi"/>
          <w:shd w:val="clear" w:color="auto" w:fill="FFFFFF"/>
          <w:lang w:val="en-US"/>
        </w:rPr>
        <w:t>has been</w:t>
      </w:r>
      <w:r w:rsidR="00EB073A" w:rsidRPr="00A01669">
        <w:rPr>
          <w:rFonts w:cstheme="minorHAnsi"/>
          <w:shd w:val="clear" w:color="auto" w:fill="FFFFFF"/>
          <w:lang w:val="en-US"/>
        </w:rPr>
        <w:t xml:space="preserve"> significantly associated with </w:t>
      </w:r>
      <w:r w:rsidRPr="00A01669">
        <w:rPr>
          <w:rFonts w:cstheme="minorHAnsi"/>
          <w:shd w:val="clear" w:color="auto" w:fill="FFFFFF"/>
          <w:lang w:val="en-US"/>
        </w:rPr>
        <w:t xml:space="preserve">28% </w:t>
      </w:r>
      <w:r w:rsidR="00EB073A" w:rsidRPr="00A01669">
        <w:rPr>
          <w:rFonts w:cstheme="minorHAnsi"/>
          <w:shd w:val="clear" w:color="auto" w:fill="FFFFFF"/>
          <w:lang w:val="en-US"/>
        </w:rPr>
        <w:t>increased adjusted all-cause </w:t>
      </w:r>
      <w:r w:rsidR="00EB073A" w:rsidRPr="00A01669">
        <w:rPr>
          <w:rStyle w:val="highlight"/>
          <w:rFonts w:cstheme="minorHAnsi"/>
          <w:shd w:val="clear" w:color="auto" w:fill="FFFFFF"/>
          <w:lang w:val="en-US"/>
        </w:rPr>
        <w:t>mortality</w:t>
      </w:r>
      <w:r w:rsidR="00EB073A" w:rsidRPr="00A01669">
        <w:rPr>
          <w:rFonts w:cstheme="minorHAnsi"/>
          <w:shd w:val="clear" w:color="auto" w:fill="FFFFFF"/>
          <w:lang w:val="en-US"/>
        </w:rPr>
        <w:t xml:space="preserve"> risk for aspirin, </w:t>
      </w:r>
      <w:r w:rsidRPr="00A01669">
        <w:rPr>
          <w:rFonts w:cstheme="minorHAnsi"/>
          <w:shd w:val="clear" w:color="auto" w:fill="FFFFFF"/>
          <w:lang w:val="en-US"/>
        </w:rPr>
        <w:t xml:space="preserve">36 % for </w:t>
      </w:r>
      <w:r w:rsidR="00EB073A" w:rsidRPr="00A01669">
        <w:rPr>
          <w:rFonts w:cstheme="minorHAnsi"/>
          <w:shd w:val="clear" w:color="auto" w:fill="FFFFFF"/>
          <w:lang w:val="en-US"/>
        </w:rPr>
        <w:t xml:space="preserve">statins and </w:t>
      </w:r>
      <w:r w:rsidRPr="00A01669">
        <w:rPr>
          <w:rFonts w:cstheme="minorHAnsi"/>
          <w:shd w:val="clear" w:color="auto" w:fill="FFFFFF"/>
          <w:lang w:val="en-US"/>
        </w:rPr>
        <w:t>57</w:t>
      </w:r>
      <w:r w:rsidR="007B0358" w:rsidRPr="00A01669">
        <w:rPr>
          <w:rFonts w:cstheme="minorHAnsi"/>
          <w:shd w:val="clear" w:color="auto" w:fill="FFFFFF"/>
          <w:lang w:val="en-US"/>
        </w:rPr>
        <w:t>% for</w:t>
      </w:r>
      <w:r w:rsidRPr="00A01669">
        <w:rPr>
          <w:rFonts w:cstheme="minorHAnsi"/>
          <w:shd w:val="clear" w:color="auto" w:fill="FFFFFF"/>
          <w:lang w:val="en-US"/>
        </w:rPr>
        <w:t xml:space="preserve"> </w:t>
      </w:r>
      <w:r w:rsidR="00EB073A" w:rsidRPr="00A01669">
        <w:rPr>
          <w:rFonts w:cstheme="minorHAnsi"/>
          <w:shd w:val="clear" w:color="auto" w:fill="FFFFFF"/>
          <w:lang w:val="en-US"/>
        </w:rPr>
        <w:t>angiotensin-converting enzyme inhibitors/angiotensin receptor blockers among ischemic heart disease patients with documented heart failure. Multidrug-combined therapy exerted incremental survival benefit in a dose-response gradient, exceeding that of single-component </w:t>
      </w:r>
      <w:r w:rsidR="00EB073A" w:rsidRPr="00A01669">
        <w:rPr>
          <w:rStyle w:val="highlight"/>
          <w:rFonts w:cstheme="minorHAnsi"/>
          <w:shd w:val="clear" w:color="auto" w:fill="FFFFFF"/>
          <w:lang w:val="en-US"/>
        </w:rPr>
        <w:t>treatment</w:t>
      </w:r>
      <w:r w:rsidR="00EB073A" w:rsidRPr="00A01669">
        <w:rPr>
          <w:rFonts w:cstheme="minorHAnsi"/>
          <w:shd w:val="clear" w:color="auto" w:fill="FFFFFF"/>
          <w:lang w:val="en-US"/>
        </w:rPr>
        <w:t>. The highest risk of </w:t>
      </w:r>
      <w:r w:rsidR="00EB073A" w:rsidRPr="00A01669">
        <w:rPr>
          <w:rStyle w:val="highlight"/>
          <w:rFonts w:cstheme="minorHAnsi"/>
          <w:shd w:val="clear" w:color="auto" w:fill="FFFFFF"/>
          <w:lang w:val="en-US"/>
        </w:rPr>
        <w:t>mortality</w:t>
      </w:r>
      <w:r w:rsidR="00EB073A" w:rsidRPr="00A01669">
        <w:rPr>
          <w:rFonts w:cstheme="minorHAnsi"/>
          <w:shd w:val="clear" w:color="auto" w:fill="FFFFFF"/>
          <w:lang w:val="en-US"/>
        </w:rPr>
        <w:t> </w:t>
      </w:r>
      <w:r w:rsidRPr="00A01669">
        <w:rPr>
          <w:rFonts w:cstheme="minorHAnsi"/>
          <w:shd w:val="clear" w:color="auto" w:fill="FFFFFF"/>
          <w:lang w:val="en-US"/>
        </w:rPr>
        <w:t>has been</w:t>
      </w:r>
      <w:r w:rsidR="00EB073A" w:rsidRPr="00A01669">
        <w:rPr>
          <w:rFonts w:cstheme="minorHAnsi"/>
          <w:shd w:val="clear" w:color="auto" w:fill="FFFFFF"/>
          <w:lang w:val="en-US"/>
        </w:rPr>
        <w:t xml:space="preserve"> observed in </w:t>
      </w:r>
      <w:r w:rsidR="007B0358" w:rsidRPr="00A01669">
        <w:rPr>
          <w:rFonts w:cstheme="minorHAnsi"/>
          <w:shd w:val="clear" w:color="auto" w:fill="FFFFFF"/>
          <w:lang w:val="en-US"/>
        </w:rPr>
        <w:t>patient’s</w:t>
      </w:r>
      <w:r w:rsidR="00EB073A" w:rsidRPr="00A01669">
        <w:rPr>
          <w:rFonts w:cstheme="minorHAnsi"/>
          <w:shd w:val="clear" w:color="auto" w:fill="FFFFFF"/>
          <w:lang w:val="en-US"/>
        </w:rPr>
        <w:t xml:space="preserve"> adherent to none of the medications compared with adherents to all medications, with a 38% increase in </w:t>
      </w:r>
      <w:r w:rsidR="00226F52" w:rsidRPr="00A01669">
        <w:rPr>
          <w:rFonts w:cstheme="minorHAnsi"/>
          <w:shd w:val="clear" w:color="auto" w:fill="FFFFFF"/>
          <w:lang w:val="en-US"/>
        </w:rPr>
        <w:t xml:space="preserve">the </w:t>
      </w:r>
      <w:r w:rsidR="00EB073A" w:rsidRPr="00A01669">
        <w:rPr>
          <w:rFonts w:cstheme="minorHAnsi"/>
          <w:noProof/>
          <w:shd w:val="clear" w:color="auto" w:fill="FFFFFF"/>
          <w:lang w:val="en-US"/>
        </w:rPr>
        <w:t>risk</w:t>
      </w:r>
      <w:r w:rsidR="00EB073A" w:rsidRPr="00A01669">
        <w:rPr>
          <w:rFonts w:cstheme="minorHAnsi"/>
          <w:shd w:val="clear" w:color="auto" w:fill="FFFFFF"/>
          <w:lang w:val="en-US"/>
        </w:rPr>
        <w:t xml:space="preserve"> of </w:t>
      </w:r>
      <w:r w:rsidR="00EB073A" w:rsidRPr="00A01669">
        <w:rPr>
          <w:rStyle w:val="highlight"/>
          <w:rFonts w:cstheme="minorHAnsi"/>
          <w:shd w:val="clear" w:color="auto" w:fill="FFFFFF"/>
          <w:lang w:val="en-US"/>
        </w:rPr>
        <w:t>mortality</w:t>
      </w:r>
      <w:r w:rsidR="00A46217" w:rsidRPr="00A01669">
        <w:rPr>
          <w:rStyle w:val="highlight"/>
          <w:rFonts w:cstheme="minorHAnsi"/>
          <w:shd w:val="clear" w:color="auto" w:fill="FFFFFF"/>
          <w:lang w:val="en-US"/>
        </w:rPr>
        <w:t>.</w:t>
      </w:r>
      <w:r w:rsidR="00423C7A" w:rsidRPr="00A01669">
        <w:rPr>
          <w:rStyle w:val="highlight"/>
          <w:rFonts w:cstheme="minorHAnsi"/>
          <w:shd w:val="clear" w:color="auto" w:fill="FFFFFF"/>
          <w:lang w:val="en-US"/>
        </w:rPr>
        <w:t xml:space="preserve"> (5)</w:t>
      </w:r>
      <w:r w:rsidR="00EB073A" w:rsidRPr="00A01669">
        <w:rPr>
          <w:rFonts w:cstheme="minorHAnsi"/>
          <w:lang w:val="en-US"/>
        </w:rPr>
        <w:t xml:space="preserve"> </w:t>
      </w:r>
    </w:p>
    <w:p w:rsidR="00423C7A" w:rsidRPr="00A01669" w:rsidRDefault="00A46217" w:rsidP="00226F52">
      <w:pPr>
        <w:shd w:val="clear" w:color="auto" w:fill="FFFFFF"/>
        <w:spacing w:before="120" w:after="120" w:line="360" w:lineRule="auto"/>
        <w:ind w:left="90" w:right="432"/>
        <w:jc w:val="both"/>
        <w:rPr>
          <w:rFonts w:cstheme="minorHAnsi"/>
          <w:shd w:val="clear" w:color="auto" w:fill="FFFFFF"/>
          <w:lang w:val="en-US"/>
        </w:rPr>
      </w:pPr>
      <w:r w:rsidRPr="00A01669">
        <w:rPr>
          <w:rFonts w:cstheme="minorHAnsi"/>
          <w:noProof/>
          <w:shd w:val="clear" w:color="auto" w:fill="FFFFFF"/>
          <w:lang w:val="en-US"/>
        </w:rPr>
        <w:t>Specifically,</w:t>
      </w:r>
      <w:r w:rsidR="00A72145" w:rsidRPr="00A01669">
        <w:rPr>
          <w:rFonts w:cstheme="minorHAnsi"/>
          <w:shd w:val="clear" w:color="auto" w:fill="FFFFFF"/>
          <w:lang w:val="en-US"/>
        </w:rPr>
        <w:t xml:space="preserve"> </w:t>
      </w:r>
      <w:r w:rsidR="00EB073A" w:rsidRPr="00A01669">
        <w:rPr>
          <w:rFonts w:cstheme="minorHAnsi"/>
          <w:shd w:val="clear" w:color="auto" w:fill="FFFFFF"/>
          <w:lang w:val="en-US"/>
        </w:rPr>
        <w:t>in patients with acute </w:t>
      </w:r>
      <w:r w:rsidR="00EB073A" w:rsidRPr="00A01669">
        <w:rPr>
          <w:rStyle w:val="highlight"/>
          <w:rFonts w:cstheme="minorHAnsi"/>
          <w:shd w:val="clear" w:color="auto" w:fill="FFFFFF"/>
          <w:lang w:val="en-US"/>
        </w:rPr>
        <w:t>myocardial infarction</w:t>
      </w:r>
      <w:r w:rsidRPr="00A01669">
        <w:rPr>
          <w:rStyle w:val="highlight"/>
          <w:rFonts w:cstheme="minorHAnsi"/>
          <w:shd w:val="clear" w:color="auto" w:fill="FFFFFF"/>
          <w:lang w:val="en-US"/>
        </w:rPr>
        <w:t xml:space="preserve"> (MI),</w:t>
      </w:r>
      <w:r w:rsidR="00EB073A" w:rsidRPr="00A01669">
        <w:rPr>
          <w:rFonts w:cstheme="minorHAnsi"/>
          <w:shd w:val="clear" w:color="auto" w:fill="FFFFFF"/>
          <w:lang w:val="en-US"/>
        </w:rPr>
        <w:t> </w:t>
      </w:r>
      <w:r w:rsidR="00A72145" w:rsidRPr="00A01669">
        <w:rPr>
          <w:rFonts w:cstheme="minorHAnsi"/>
          <w:shd w:val="clear" w:color="auto" w:fill="FFFFFF"/>
          <w:lang w:val="en-US"/>
        </w:rPr>
        <w:t>n</w:t>
      </w:r>
      <w:r w:rsidR="00EB073A" w:rsidRPr="00A01669">
        <w:rPr>
          <w:rFonts w:cstheme="minorHAnsi"/>
          <w:shd w:val="clear" w:color="auto" w:fill="FFFFFF"/>
          <w:lang w:val="en-US"/>
        </w:rPr>
        <w:t>on</w:t>
      </w:r>
      <w:r w:rsidRPr="00A01669">
        <w:rPr>
          <w:rFonts w:cstheme="minorHAnsi"/>
          <w:shd w:val="clear" w:color="auto" w:fill="FFFFFF"/>
          <w:lang w:val="en-US"/>
        </w:rPr>
        <w:t>-</w:t>
      </w:r>
      <w:r w:rsidR="00EB073A" w:rsidRPr="00A01669">
        <w:rPr>
          <w:rFonts w:cstheme="minorHAnsi"/>
          <w:shd w:val="clear" w:color="auto" w:fill="FFFFFF"/>
          <w:lang w:val="en-US"/>
        </w:rPr>
        <w:t xml:space="preserve">adherence to aspirin, β-blockers, </w:t>
      </w:r>
      <w:r w:rsidR="00EB073A" w:rsidRPr="00A01669">
        <w:rPr>
          <w:rFonts w:cstheme="minorHAnsi"/>
          <w:noProof/>
          <w:shd w:val="clear" w:color="auto" w:fill="FFFFFF"/>
          <w:lang w:val="en-US"/>
        </w:rPr>
        <w:t>angio</w:t>
      </w:r>
      <w:r w:rsidR="007B0358" w:rsidRPr="00A01669">
        <w:rPr>
          <w:rFonts w:cstheme="minorHAnsi"/>
          <w:noProof/>
          <w:shd w:val="clear" w:color="auto" w:fill="FFFFFF"/>
          <w:lang w:val="en-US"/>
        </w:rPr>
        <w:t>t</w:t>
      </w:r>
      <w:r w:rsidR="00EB073A" w:rsidRPr="00A01669">
        <w:rPr>
          <w:rFonts w:cstheme="minorHAnsi"/>
          <w:noProof/>
          <w:shd w:val="clear" w:color="auto" w:fill="FFFFFF"/>
          <w:lang w:val="en-US"/>
        </w:rPr>
        <w:t>ensin</w:t>
      </w:r>
      <w:r w:rsidR="00226F52" w:rsidRPr="00A01669">
        <w:rPr>
          <w:rFonts w:cstheme="minorHAnsi"/>
          <w:noProof/>
          <w:shd w:val="clear" w:color="auto" w:fill="FFFFFF"/>
          <w:lang w:val="en-US"/>
        </w:rPr>
        <w:t>-</w:t>
      </w:r>
      <w:r w:rsidR="00EB073A" w:rsidRPr="00A01669">
        <w:rPr>
          <w:rFonts w:cstheme="minorHAnsi"/>
          <w:noProof/>
          <w:shd w:val="clear" w:color="auto" w:fill="FFFFFF"/>
          <w:lang w:val="en-US"/>
        </w:rPr>
        <w:t>converting</w:t>
      </w:r>
      <w:r w:rsidR="00EB073A" w:rsidRPr="00A01669">
        <w:rPr>
          <w:rFonts w:cstheme="minorHAnsi"/>
          <w:shd w:val="clear" w:color="auto" w:fill="FFFFFF"/>
          <w:lang w:val="en-US"/>
        </w:rPr>
        <w:t xml:space="preserve"> enzyme inhibitors/angiotensin receptor blockers or statins </w:t>
      </w:r>
      <w:r w:rsidR="00A72145" w:rsidRPr="00A01669">
        <w:rPr>
          <w:rFonts w:cstheme="minorHAnsi"/>
          <w:shd w:val="clear" w:color="auto" w:fill="FFFFFF"/>
          <w:lang w:val="en-US"/>
        </w:rPr>
        <w:t xml:space="preserve">is </w:t>
      </w:r>
      <w:r w:rsidR="00EB073A" w:rsidRPr="00A01669">
        <w:rPr>
          <w:rFonts w:cstheme="minorHAnsi"/>
          <w:shd w:val="clear" w:color="auto" w:fill="FFFFFF"/>
          <w:lang w:val="en-US"/>
        </w:rPr>
        <w:t>approximat</w:t>
      </w:r>
      <w:r w:rsidRPr="00A01669">
        <w:rPr>
          <w:rFonts w:cstheme="minorHAnsi"/>
          <w:shd w:val="clear" w:color="auto" w:fill="FFFFFF"/>
          <w:lang w:val="en-US"/>
        </w:rPr>
        <w:t>ely</w:t>
      </w:r>
      <w:r w:rsidR="00EB073A" w:rsidRPr="00A01669">
        <w:rPr>
          <w:rFonts w:cstheme="minorHAnsi"/>
          <w:shd w:val="clear" w:color="auto" w:fill="FFFFFF"/>
          <w:lang w:val="en-US"/>
        </w:rPr>
        <w:t xml:space="preserve"> 50%, and 80% for combined therapy of all medications</w:t>
      </w:r>
      <w:r w:rsidR="007B0358" w:rsidRPr="00A01669">
        <w:rPr>
          <w:rFonts w:cstheme="minorHAnsi"/>
          <w:shd w:val="clear" w:color="auto" w:fill="FFFFFF"/>
          <w:lang w:val="en-US"/>
        </w:rPr>
        <w:t xml:space="preserve">. </w:t>
      </w:r>
      <w:r w:rsidR="00423C7A" w:rsidRPr="00A01669">
        <w:rPr>
          <w:rFonts w:cstheme="minorHAnsi"/>
          <w:shd w:val="clear" w:color="auto" w:fill="FFFFFF"/>
          <w:lang w:val="en-US"/>
        </w:rPr>
        <w:t>(6)</w:t>
      </w:r>
      <w:r w:rsidR="00EB073A" w:rsidRPr="00A01669">
        <w:rPr>
          <w:rFonts w:cstheme="minorHAnsi"/>
          <w:shd w:val="clear" w:color="auto" w:fill="FFFFFF"/>
          <w:lang w:val="en-US"/>
        </w:rPr>
        <w:t> </w:t>
      </w:r>
    </w:p>
    <w:p w:rsidR="00423C7A" w:rsidRPr="00A01669" w:rsidRDefault="00EB073A" w:rsidP="00226F52">
      <w:pPr>
        <w:shd w:val="clear" w:color="auto" w:fill="FFFFFF"/>
        <w:spacing w:before="120" w:after="120" w:line="360" w:lineRule="auto"/>
        <w:ind w:left="90" w:right="432"/>
        <w:jc w:val="both"/>
        <w:rPr>
          <w:rFonts w:cstheme="minorHAnsi"/>
          <w:lang w:val="en-US"/>
        </w:rPr>
      </w:pPr>
      <w:r w:rsidRPr="00A01669">
        <w:rPr>
          <w:rFonts w:cstheme="minorHAnsi"/>
          <w:lang w:val="en-US"/>
        </w:rPr>
        <w:lastRenderedPageBreak/>
        <w:t>After MI, several strategies including early</w:t>
      </w:r>
      <w:r w:rsidR="00A72145" w:rsidRPr="00A01669">
        <w:rPr>
          <w:rFonts w:cstheme="minorHAnsi"/>
          <w:lang w:val="en-US"/>
        </w:rPr>
        <w:t xml:space="preserve"> </w:t>
      </w:r>
      <w:r w:rsidRPr="00A01669">
        <w:rPr>
          <w:rFonts w:cstheme="minorHAnsi"/>
          <w:lang w:val="en-US"/>
        </w:rPr>
        <w:t>follow up and sending printed reminders to patients were</w:t>
      </w:r>
      <w:r w:rsidR="00A72145" w:rsidRPr="00A01669">
        <w:rPr>
          <w:rFonts w:cstheme="minorHAnsi"/>
          <w:lang w:val="en-US"/>
        </w:rPr>
        <w:t xml:space="preserve"> </w:t>
      </w:r>
      <w:r w:rsidRPr="00A01669">
        <w:rPr>
          <w:rFonts w:cstheme="minorHAnsi"/>
          <w:lang w:val="en-US"/>
        </w:rPr>
        <w:t>proposed to improve adherence</w:t>
      </w:r>
      <w:r w:rsidR="007B0358" w:rsidRPr="00A01669">
        <w:rPr>
          <w:rFonts w:cstheme="minorHAnsi"/>
          <w:lang w:val="en-US"/>
        </w:rPr>
        <w:t>.</w:t>
      </w:r>
      <w:r w:rsidRPr="00A01669">
        <w:rPr>
          <w:rFonts w:cstheme="minorHAnsi"/>
          <w:lang w:val="en-US"/>
        </w:rPr>
        <w:t xml:space="preserve"> (</w:t>
      </w:r>
      <w:r w:rsidR="00423C7A" w:rsidRPr="00A01669">
        <w:rPr>
          <w:rFonts w:cstheme="minorHAnsi"/>
          <w:lang w:val="en-US"/>
        </w:rPr>
        <w:t>7)</w:t>
      </w:r>
    </w:p>
    <w:p w:rsidR="00423C7A" w:rsidRPr="00A01669" w:rsidRDefault="00F8596A" w:rsidP="00226F52">
      <w:pPr>
        <w:autoSpaceDE w:val="0"/>
        <w:autoSpaceDN w:val="0"/>
        <w:adjustRightInd w:val="0"/>
        <w:spacing w:before="120" w:after="120" w:line="360" w:lineRule="auto"/>
        <w:ind w:left="90" w:right="432"/>
        <w:jc w:val="both"/>
        <w:rPr>
          <w:rFonts w:cstheme="minorHAnsi"/>
          <w:lang w:val="en-US"/>
        </w:rPr>
      </w:pPr>
      <w:r w:rsidRPr="00A01669">
        <w:rPr>
          <w:rFonts w:cstheme="minorHAnsi"/>
          <w:lang w:val="en-US"/>
        </w:rPr>
        <w:t xml:space="preserve">A major </w:t>
      </w:r>
      <w:r w:rsidR="00701637" w:rsidRPr="00A01669">
        <w:rPr>
          <w:rFonts w:cstheme="minorHAnsi"/>
          <w:lang w:val="en-US"/>
        </w:rPr>
        <w:t xml:space="preserve">cause for poor adherence </w:t>
      </w:r>
      <w:r w:rsidRPr="00A01669">
        <w:rPr>
          <w:rFonts w:cstheme="minorHAnsi"/>
          <w:lang w:val="en-US"/>
        </w:rPr>
        <w:t>in treating CVD is patients’ lack of</w:t>
      </w:r>
      <w:r w:rsidR="00A72145" w:rsidRPr="00A01669">
        <w:rPr>
          <w:rFonts w:cstheme="minorHAnsi"/>
          <w:lang w:val="en-US"/>
        </w:rPr>
        <w:t xml:space="preserve"> </w:t>
      </w:r>
      <w:r w:rsidRPr="00A01669">
        <w:rPr>
          <w:rFonts w:cstheme="minorHAnsi"/>
          <w:lang w:val="en-US"/>
        </w:rPr>
        <w:t xml:space="preserve">understanding of their health condition and </w:t>
      </w:r>
      <w:r w:rsidR="00A72145" w:rsidRPr="00A01669">
        <w:rPr>
          <w:rFonts w:cstheme="minorHAnsi"/>
          <w:lang w:val="en-US"/>
        </w:rPr>
        <w:t xml:space="preserve">the importance of their </w:t>
      </w:r>
      <w:r w:rsidR="00701637" w:rsidRPr="00A01669">
        <w:rPr>
          <w:rFonts w:cstheme="minorHAnsi"/>
          <w:lang w:val="en-US"/>
        </w:rPr>
        <w:t>treatment to avoid severe complications</w:t>
      </w:r>
      <w:r w:rsidR="00A46217" w:rsidRPr="00A01669">
        <w:rPr>
          <w:rFonts w:cstheme="minorHAnsi"/>
          <w:lang w:val="en-US"/>
        </w:rPr>
        <w:t>.</w:t>
      </w:r>
      <w:r w:rsidR="00701637" w:rsidRPr="00A01669">
        <w:rPr>
          <w:rFonts w:cstheme="minorHAnsi"/>
          <w:lang w:val="en-US"/>
        </w:rPr>
        <w:t xml:space="preserve"> </w:t>
      </w:r>
      <w:r w:rsidR="001D15D7" w:rsidRPr="00A01669">
        <w:rPr>
          <w:rFonts w:cstheme="minorHAnsi"/>
          <w:lang w:val="en-US"/>
        </w:rPr>
        <w:t>(</w:t>
      </w:r>
      <w:r w:rsidR="00423C7A" w:rsidRPr="00A01669">
        <w:rPr>
          <w:rFonts w:cstheme="minorHAnsi"/>
          <w:lang w:val="en-US"/>
        </w:rPr>
        <w:t>8)</w:t>
      </w:r>
      <w:r w:rsidR="00A46217" w:rsidRPr="00A01669">
        <w:rPr>
          <w:rFonts w:cstheme="minorHAnsi"/>
          <w:lang w:val="en-US"/>
        </w:rPr>
        <w:t xml:space="preserve">  In general, poly</w:t>
      </w:r>
      <w:r w:rsidR="00423C7A" w:rsidRPr="00A01669">
        <w:rPr>
          <w:rFonts w:cstheme="minorHAnsi"/>
          <w:lang w:val="en-US"/>
        </w:rPr>
        <w:t xml:space="preserve">pharmacy has </w:t>
      </w:r>
      <w:r w:rsidR="00226F52" w:rsidRPr="00A01669">
        <w:rPr>
          <w:rFonts w:cstheme="minorHAnsi"/>
          <w:lang w:val="en-US"/>
        </w:rPr>
        <w:t xml:space="preserve">a </w:t>
      </w:r>
      <w:r w:rsidR="00423C7A" w:rsidRPr="00A01669">
        <w:rPr>
          <w:rFonts w:cstheme="minorHAnsi"/>
          <w:noProof/>
          <w:lang w:val="en-US"/>
        </w:rPr>
        <w:t>major</w:t>
      </w:r>
      <w:r w:rsidR="00423C7A" w:rsidRPr="00A01669">
        <w:rPr>
          <w:rFonts w:cstheme="minorHAnsi"/>
          <w:lang w:val="en-US"/>
        </w:rPr>
        <w:t xml:space="preserve"> impact on adherence to cardiovascular medications (9) and the most frequent reason for non-adherence is multiple medications (polypharmacy).</w:t>
      </w:r>
    </w:p>
    <w:p w:rsidR="001D15D7" w:rsidRPr="00A01669" w:rsidRDefault="001D15D7" w:rsidP="00226F52">
      <w:pPr>
        <w:autoSpaceDE w:val="0"/>
        <w:autoSpaceDN w:val="0"/>
        <w:adjustRightInd w:val="0"/>
        <w:spacing w:before="120" w:after="120" w:line="360" w:lineRule="auto"/>
        <w:ind w:left="90" w:right="432"/>
        <w:jc w:val="both"/>
        <w:rPr>
          <w:rFonts w:cstheme="minorHAnsi"/>
          <w:lang w:val="en-US"/>
        </w:rPr>
      </w:pPr>
      <w:r w:rsidRPr="00A01669">
        <w:rPr>
          <w:rFonts w:cstheme="minorHAnsi"/>
          <w:lang w:val="en-US"/>
        </w:rPr>
        <w:t xml:space="preserve">The use of </w:t>
      </w:r>
      <w:r w:rsidR="00A46217" w:rsidRPr="00A01669">
        <w:rPr>
          <w:rFonts w:cstheme="minorHAnsi"/>
          <w:lang w:val="en-US"/>
        </w:rPr>
        <w:t xml:space="preserve">a </w:t>
      </w:r>
      <w:r w:rsidRPr="00A01669">
        <w:rPr>
          <w:rFonts w:cstheme="minorHAnsi"/>
          <w:lang w:val="en-US"/>
        </w:rPr>
        <w:t>multifaceted approach comprising of</w:t>
      </w:r>
      <w:r w:rsidR="00452FF8" w:rsidRPr="00A01669">
        <w:rPr>
          <w:rFonts w:cstheme="minorHAnsi"/>
          <w:lang w:val="en-US"/>
        </w:rPr>
        <w:t xml:space="preserve"> </w:t>
      </w:r>
      <w:r w:rsidRPr="00A01669">
        <w:rPr>
          <w:rFonts w:cstheme="minorHAnsi"/>
          <w:lang w:val="en-US"/>
        </w:rPr>
        <w:t xml:space="preserve">educational and behavioral tools </w:t>
      </w:r>
      <w:r w:rsidR="00452FF8" w:rsidRPr="00A01669">
        <w:rPr>
          <w:rFonts w:cstheme="minorHAnsi"/>
          <w:lang w:val="en-US"/>
        </w:rPr>
        <w:t>ha</w:t>
      </w:r>
      <w:r w:rsidR="00A46217" w:rsidRPr="00A01669">
        <w:rPr>
          <w:rFonts w:cstheme="minorHAnsi"/>
          <w:lang w:val="en-US"/>
        </w:rPr>
        <w:t>s</w:t>
      </w:r>
      <w:r w:rsidR="00452FF8" w:rsidRPr="00A01669">
        <w:rPr>
          <w:rFonts w:cstheme="minorHAnsi"/>
          <w:lang w:val="en-US"/>
        </w:rPr>
        <w:t xml:space="preserve"> </w:t>
      </w:r>
      <w:r w:rsidR="007B0358" w:rsidRPr="00A01669">
        <w:rPr>
          <w:rFonts w:cstheme="minorHAnsi"/>
          <w:lang w:val="en-US"/>
        </w:rPr>
        <w:t>demonstrated</w:t>
      </w:r>
      <w:r w:rsidR="00452FF8" w:rsidRPr="00A01669">
        <w:rPr>
          <w:rFonts w:cstheme="minorHAnsi"/>
          <w:lang w:val="en-US"/>
        </w:rPr>
        <w:t xml:space="preserve"> an improvement in </w:t>
      </w:r>
      <w:r w:rsidRPr="00A01669">
        <w:rPr>
          <w:rFonts w:cstheme="minorHAnsi"/>
          <w:lang w:val="en-US"/>
        </w:rPr>
        <w:t>adherence to cardiovascular</w:t>
      </w:r>
      <w:r w:rsidR="00452FF8" w:rsidRPr="00A01669">
        <w:rPr>
          <w:rFonts w:cstheme="minorHAnsi"/>
          <w:lang w:val="en-US"/>
        </w:rPr>
        <w:t xml:space="preserve"> </w:t>
      </w:r>
      <w:r w:rsidRPr="00A01669">
        <w:rPr>
          <w:rFonts w:cstheme="minorHAnsi"/>
          <w:lang w:val="en-US"/>
        </w:rPr>
        <w:t>medications</w:t>
      </w:r>
      <w:r w:rsidR="00F109CC" w:rsidRPr="00A01669">
        <w:rPr>
          <w:rFonts w:cstheme="minorHAnsi"/>
          <w:lang w:val="en-US"/>
        </w:rPr>
        <w:t>.</w:t>
      </w:r>
      <w:r w:rsidRPr="00A01669">
        <w:rPr>
          <w:rFonts w:cstheme="minorHAnsi"/>
          <w:lang w:val="en-US"/>
        </w:rPr>
        <w:t xml:space="preserve"> </w:t>
      </w:r>
    </w:p>
    <w:p w:rsidR="00452FF8" w:rsidRPr="00A01669" w:rsidRDefault="00341280" w:rsidP="00226F52">
      <w:pPr>
        <w:autoSpaceDE w:val="0"/>
        <w:autoSpaceDN w:val="0"/>
        <w:adjustRightInd w:val="0"/>
        <w:spacing w:before="120" w:after="120" w:line="360" w:lineRule="auto"/>
        <w:ind w:left="90" w:right="432"/>
        <w:jc w:val="both"/>
        <w:rPr>
          <w:rFonts w:cstheme="minorHAnsi"/>
          <w:lang w:val="en-US"/>
        </w:rPr>
      </w:pPr>
      <w:r w:rsidRPr="00A01669">
        <w:rPr>
          <w:rFonts w:cstheme="minorHAnsi"/>
          <w:lang w:val="en-US"/>
        </w:rPr>
        <w:t xml:space="preserve">In San Miguel, </w:t>
      </w:r>
      <w:r w:rsidR="007C3C25" w:rsidRPr="00A01669">
        <w:rPr>
          <w:rFonts w:cstheme="minorHAnsi"/>
          <w:lang w:val="en-US"/>
        </w:rPr>
        <w:t xml:space="preserve">a city of 300.000 citizens in the northwest region of Greater Buenos Aires, Argentina, </w:t>
      </w:r>
      <w:r w:rsidRPr="00A01669">
        <w:rPr>
          <w:rFonts w:cstheme="minorHAnsi"/>
          <w:lang w:val="en-US"/>
        </w:rPr>
        <w:t xml:space="preserve">the </w:t>
      </w:r>
      <w:r w:rsidR="007B0358" w:rsidRPr="00A01669">
        <w:rPr>
          <w:rFonts w:cstheme="minorHAnsi"/>
          <w:lang w:val="en-US"/>
        </w:rPr>
        <w:t>cardiologists</w:t>
      </w:r>
      <w:r w:rsidRPr="00A01669">
        <w:rPr>
          <w:rFonts w:cstheme="minorHAnsi"/>
          <w:lang w:val="en-US"/>
        </w:rPr>
        <w:t xml:space="preserve"> of the </w:t>
      </w:r>
      <w:r w:rsidR="00701637" w:rsidRPr="00A01669">
        <w:rPr>
          <w:rFonts w:cstheme="minorHAnsi"/>
          <w:lang w:val="en-US"/>
        </w:rPr>
        <w:t>local</w:t>
      </w:r>
      <w:r w:rsidRPr="00A01669">
        <w:rPr>
          <w:rFonts w:cstheme="minorHAnsi"/>
          <w:lang w:val="en-US"/>
        </w:rPr>
        <w:t xml:space="preserve"> </w:t>
      </w:r>
      <w:r w:rsidR="00701637" w:rsidRPr="00A01669">
        <w:rPr>
          <w:rFonts w:cstheme="minorHAnsi"/>
          <w:lang w:val="en-US"/>
        </w:rPr>
        <w:t xml:space="preserve">public </w:t>
      </w:r>
      <w:r w:rsidR="007C3C25" w:rsidRPr="00A01669">
        <w:rPr>
          <w:rFonts w:cstheme="minorHAnsi"/>
          <w:lang w:val="en-US"/>
        </w:rPr>
        <w:t>h</w:t>
      </w:r>
      <w:r w:rsidRPr="00A01669">
        <w:rPr>
          <w:rFonts w:cstheme="minorHAnsi"/>
          <w:lang w:val="en-US"/>
        </w:rPr>
        <w:t xml:space="preserve">ospital, began a program to improve adherence of treatment in patients after an </w:t>
      </w:r>
      <w:r w:rsidR="007C3C25" w:rsidRPr="00A01669">
        <w:rPr>
          <w:rFonts w:cstheme="minorHAnsi"/>
          <w:lang w:val="en-US"/>
        </w:rPr>
        <w:t>acute coronary s</w:t>
      </w:r>
      <w:r w:rsidRPr="00A01669">
        <w:rPr>
          <w:rFonts w:cstheme="minorHAnsi"/>
          <w:lang w:val="en-US"/>
        </w:rPr>
        <w:t>yndrome</w:t>
      </w:r>
      <w:r w:rsidR="00701637" w:rsidRPr="00A01669">
        <w:rPr>
          <w:rFonts w:cstheme="minorHAnsi"/>
          <w:lang w:val="en-US"/>
        </w:rPr>
        <w:t xml:space="preserve"> in 2014</w:t>
      </w:r>
      <w:r w:rsidRPr="00A01669">
        <w:rPr>
          <w:rFonts w:cstheme="minorHAnsi"/>
          <w:lang w:val="en-US"/>
        </w:rPr>
        <w:t>. They called it PROSCA (</w:t>
      </w:r>
      <w:r w:rsidR="00701637" w:rsidRPr="00A01669">
        <w:rPr>
          <w:rFonts w:cstheme="minorHAnsi"/>
          <w:lang w:val="en-US"/>
        </w:rPr>
        <w:t>P</w:t>
      </w:r>
      <w:r w:rsidRPr="00A01669">
        <w:rPr>
          <w:rFonts w:cstheme="minorHAnsi"/>
          <w:lang w:val="en-US"/>
        </w:rPr>
        <w:t xml:space="preserve">rograma </w:t>
      </w:r>
      <w:r w:rsidRPr="00A01669">
        <w:rPr>
          <w:rFonts w:cstheme="minorHAnsi"/>
          <w:noProof/>
          <w:lang w:val="en-US"/>
        </w:rPr>
        <w:t>Sindrome</w:t>
      </w:r>
      <w:r w:rsidRPr="00A01669">
        <w:rPr>
          <w:rFonts w:cstheme="minorHAnsi"/>
          <w:lang w:val="en-US"/>
        </w:rPr>
        <w:t xml:space="preserve"> Coronario Agudo</w:t>
      </w:r>
      <w:r w:rsidR="007B0358" w:rsidRPr="00A01669">
        <w:rPr>
          <w:rFonts w:cstheme="minorHAnsi"/>
          <w:lang w:val="en-US"/>
        </w:rPr>
        <w:t>)</w:t>
      </w:r>
      <w:r w:rsidRPr="00A01669">
        <w:rPr>
          <w:rFonts w:cstheme="minorHAnsi"/>
          <w:lang w:val="en-US"/>
        </w:rPr>
        <w:t>.</w:t>
      </w:r>
    </w:p>
    <w:p w:rsidR="00341280" w:rsidRPr="00A01669" w:rsidRDefault="00341280" w:rsidP="00226F52">
      <w:pPr>
        <w:autoSpaceDE w:val="0"/>
        <w:autoSpaceDN w:val="0"/>
        <w:adjustRightInd w:val="0"/>
        <w:spacing w:before="120" w:after="120" w:line="360" w:lineRule="auto"/>
        <w:ind w:left="90" w:right="432"/>
        <w:jc w:val="both"/>
        <w:rPr>
          <w:rFonts w:cstheme="minorHAnsi"/>
          <w:lang w:val="en-US"/>
        </w:rPr>
      </w:pPr>
      <w:r w:rsidRPr="00A01669">
        <w:rPr>
          <w:rFonts w:cstheme="minorHAnsi"/>
          <w:lang w:val="en-US"/>
        </w:rPr>
        <w:t xml:space="preserve">Following their own </w:t>
      </w:r>
      <w:r w:rsidRPr="00A01669">
        <w:rPr>
          <w:rFonts w:cstheme="minorHAnsi"/>
          <w:noProof/>
          <w:lang w:val="en-US"/>
        </w:rPr>
        <w:t>roadmap</w:t>
      </w:r>
      <w:r w:rsidRPr="00A01669">
        <w:rPr>
          <w:rFonts w:cstheme="minorHAnsi"/>
          <w:lang w:val="en-US"/>
        </w:rPr>
        <w:t xml:space="preserve">, they detected that one of the most important </w:t>
      </w:r>
      <w:r w:rsidRPr="00A01669">
        <w:rPr>
          <w:rFonts w:cstheme="minorHAnsi"/>
          <w:noProof/>
          <w:lang w:val="en-US"/>
        </w:rPr>
        <w:t>problem</w:t>
      </w:r>
      <w:r w:rsidR="00226F52" w:rsidRPr="00A01669">
        <w:rPr>
          <w:rFonts w:cstheme="minorHAnsi"/>
          <w:noProof/>
          <w:lang w:val="en-US"/>
        </w:rPr>
        <w:t>s</w:t>
      </w:r>
      <w:r w:rsidRPr="00A01669">
        <w:rPr>
          <w:rFonts w:cstheme="minorHAnsi"/>
          <w:lang w:val="en-US"/>
        </w:rPr>
        <w:t xml:space="preserve"> to ensure adherence was the </w:t>
      </w:r>
      <w:r w:rsidR="00701637" w:rsidRPr="00A01669">
        <w:rPr>
          <w:rFonts w:cstheme="minorHAnsi"/>
          <w:lang w:val="en-US"/>
        </w:rPr>
        <w:t>a</w:t>
      </w:r>
      <w:r w:rsidRPr="00A01669">
        <w:rPr>
          <w:rFonts w:cstheme="minorHAnsi"/>
          <w:lang w:val="en-US"/>
        </w:rPr>
        <w:t xml:space="preserve">ccess to multiple medications. </w:t>
      </w:r>
    </w:p>
    <w:p w:rsidR="00341280" w:rsidRPr="00A01669" w:rsidRDefault="00341280" w:rsidP="00226F52">
      <w:pPr>
        <w:autoSpaceDE w:val="0"/>
        <w:autoSpaceDN w:val="0"/>
        <w:adjustRightInd w:val="0"/>
        <w:spacing w:before="120" w:after="120" w:line="360" w:lineRule="auto"/>
        <w:ind w:left="90" w:right="432"/>
        <w:jc w:val="both"/>
        <w:rPr>
          <w:rFonts w:cstheme="minorHAnsi"/>
          <w:lang w:val="en-US"/>
        </w:rPr>
      </w:pPr>
      <w:r w:rsidRPr="00A01669">
        <w:rPr>
          <w:rFonts w:cstheme="minorHAnsi"/>
          <w:lang w:val="en-US"/>
        </w:rPr>
        <w:t>They decided to obtain the compromis</w:t>
      </w:r>
      <w:r w:rsidR="00701637" w:rsidRPr="00A01669">
        <w:rPr>
          <w:rFonts w:cstheme="minorHAnsi"/>
          <w:lang w:val="en-US"/>
        </w:rPr>
        <w:t>e</w:t>
      </w:r>
      <w:r w:rsidRPr="00A01669">
        <w:rPr>
          <w:rFonts w:cstheme="minorHAnsi"/>
          <w:lang w:val="en-US"/>
        </w:rPr>
        <w:t xml:space="preserve"> of different </w:t>
      </w:r>
      <w:r w:rsidR="007B0358" w:rsidRPr="00A01669">
        <w:rPr>
          <w:rFonts w:cstheme="minorHAnsi"/>
          <w:lang w:val="en-US"/>
        </w:rPr>
        <w:t>areas</w:t>
      </w:r>
      <w:r w:rsidRPr="00A01669">
        <w:rPr>
          <w:rFonts w:cstheme="minorHAnsi"/>
          <w:lang w:val="en-US"/>
        </w:rPr>
        <w:t xml:space="preserve"> of the hospital, the </w:t>
      </w:r>
      <w:r w:rsidR="007B0358" w:rsidRPr="00A01669">
        <w:rPr>
          <w:rFonts w:cstheme="minorHAnsi"/>
          <w:lang w:val="en-US"/>
        </w:rPr>
        <w:t>government</w:t>
      </w:r>
      <w:r w:rsidRPr="00A01669">
        <w:rPr>
          <w:rFonts w:cstheme="minorHAnsi"/>
          <w:lang w:val="en-US"/>
        </w:rPr>
        <w:t>, the co</w:t>
      </w:r>
      <w:r w:rsidR="00701637" w:rsidRPr="00A01669">
        <w:rPr>
          <w:rFonts w:cstheme="minorHAnsi"/>
          <w:lang w:val="en-US"/>
        </w:rPr>
        <w:t>m</w:t>
      </w:r>
      <w:r w:rsidRPr="00A01669">
        <w:rPr>
          <w:rFonts w:cstheme="minorHAnsi"/>
          <w:lang w:val="en-US"/>
        </w:rPr>
        <w:t xml:space="preserve">munity and the pharmacological industry. After the local </w:t>
      </w:r>
      <w:r w:rsidR="007B0358" w:rsidRPr="00A01669">
        <w:rPr>
          <w:rFonts w:cstheme="minorHAnsi"/>
          <w:lang w:val="en-US"/>
        </w:rPr>
        <w:t>government</w:t>
      </w:r>
      <w:r w:rsidRPr="00A01669">
        <w:rPr>
          <w:rFonts w:cstheme="minorHAnsi"/>
          <w:lang w:val="en-US"/>
        </w:rPr>
        <w:t xml:space="preserve"> approval, the</w:t>
      </w:r>
      <w:r w:rsidR="00701637" w:rsidRPr="00A01669">
        <w:rPr>
          <w:rFonts w:cstheme="minorHAnsi"/>
          <w:lang w:val="en-US"/>
        </w:rPr>
        <w:t>y</w:t>
      </w:r>
      <w:r w:rsidR="00972428" w:rsidRPr="00A01669">
        <w:rPr>
          <w:rFonts w:cstheme="minorHAnsi"/>
          <w:lang w:val="en-US"/>
        </w:rPr>
        <w:t xml:space="preserve"> made a contract </w:t>
      </w:r>
      <w:r w:rsidR="00226F52" w:rsidRPr="00A01669">
        <w:rPr>
          <w:rFonts w:cstheme="minorHAnsi"/>
          <w:noProof/>
          <w:lang w:val="en-US"/>
        </w:rPr>
        <w:t>with</w:t>
      </w:r>
      <w:r w:rsidR="00972428" w:rsidRPr="00A01669">
        <w:rPr>
          <w:rFonts w:cstheme="minorHAnsi"/>
          <w:lang w:val="en-US"/>
        </w:rPr>
        <w:t xml:space="preserve"> a pharmaceutical </w:t>
      </w:r>
      <w:r w:rsidRPr="00A01669">
        <w:rPr>
          <w:rFonts w:cstheme="minorHAnsi"/>
          <w:lang w:val="en-US"/>
        </w:rPr>
        <w:t xml:space="preserve">medical laboratory to </w:t>
      </w:r>
      <w:r w:rsidR="007B0358" w:rsidRPr="00A01669">
        <w:rPr>
          <w:rFonts w:cstheme="minorHAnsi"/>
          <w:lang w:val="en-US"/>
        </w:rPr>
        <w:t>guarantee</w:t>
      </w:r>
      <w:r w:rsidRPr="00A01669">
        <w:rPr>
          <w:rFonts w:cstheme="minorHAnsi"/>
          <w:lang w:val="en-US"/>
        </w:rPr>
        <w:t xml:space="preserve"> the best discount in </w:t>
      </w:r>
      <w:r w:rsidR="00972428" w:rsidRPr="00A01669">
        <w:rPr>
          <w:rFonts w:cstheme="minorHAnsi"/>
          <w:lang w:val="en-US"/>
        </w:rPr>
        <w:t>some specific</w:t>
      </w:r>
      <w:r w:rsidRPr="00A01669">
        <w:rPr>
          <w:rFonts w:cstheme="minorHAnsi"/>
          <w:lang w:val="en-US"/>
        </w:rPr>
        <w:t xml:space="preserve"> medicines</w:t>
      </w:r>
      <w:r w:rsidR="00972428" w:rsidRPr="00A01669">
        <w:rPr>
          <w:rFonts w:cstheme="minorHAnsi"/>
          <w:lang w:val="en-US"/>
        </w:rPr>
        <w:t>. The hospital began to provide for free all the medication the patients who entered the PROSCA needed</w:t>
      </w:r>
      <w:r w:rsidRPr="00A01669">
        <w:rPr>
          <w:rFonts w:cstheme="minorHAnsi"/>
          <w:lang w:val="en-US"/>
        </w:rPr>
        <w:t xml:space="preserve">. </w:t>
      </w:r>
    </w:p>
    <w:p w:rsidR="00341280" w:rsidRPr="00A01669" w:rsidRDefault="00341280" w:rsidP="00226F52">
      <w:pPr>
        <w:autoSpaceDE w:val="0"/>
        <w:autoSpaceDN w:val="0"/>
        <w:adjustRightInd w:val="0"/>
        <w:spacing w:before="120" w:after="120" w:line="360" w:lineRule="auto"/>
        <w:ind w:left="90" w:right="432"/>
        <w:jc w:val="both"/>
        <w:rPr>
          <w:rFonts w:cstheme="minorHAnsi"/>
          <w:lang w:val="en-US"/>
        </w:rPr>
      </w:pPr>
      <w:r w:rsidRPr="00A01669">
        <w:rPr>
          <w:rFonts w:cstheme="minorHAnsi"/>
          <w:lang w:val="en-US"/>
        </w:rPr>
        <w:t xml:space="preserve">Since 2014, every patient with an acute coronary syndrome is appointed to </w:t>
      </w:r>
      <w:r w:rsidR="007B0358" w:rsidRPr="00A01669">
        <w:rPr>
          <w:rFonts w:cstheme="minorHAnsi"/>
          <w:lang w:val="en-US"/>
        </w:rPr>
        <w:t>a visit 7 day</w:t>
      </w:r>
      <w:r w:rsidRPr="00A01669">
        <w:rPr>
          <w:rFonts w:cstheme="minorHAnsi"/>
          <w:lang w:val="en-US"/>
        </w:rPr>
        <w:t xml:space="preserve"> after discharge. </w:t>
      </w:r>
      <w:r w:rsidR="00972428" w:rsidRPr="00A01669">
        <w:rPr>
          <w:rFonts w:cstheme="minorHAnsi"/>
          <w:lang w:val="en-US"/>
        </w:rPr>
        <w:t>They</w:t>
      </w:r>
      <w:r w:rsidRPr="00A01669">
        <w:rPr>
          <w:rFonts w:cstheme="minorHAnsi"/>
          <w:lang w:val="en-US"/>
        </w:rPr>
        <w:t xml:space="preserve"> receive </w:t>
      </w:r>
      <w:r w:rsidR="00972428" w:rsidRPr="00A01669">
        <w:rPr>
          <w:rFonts w:cstheme="minorHAnsi"/>
          <w:lang w:val="en-US"/>
        </w:rPr>
        <w:t xml:space="preserve">oral </w:t>
      </w:r>
      <w:r w:rsidRPr="00A01669">
        <w:rPr>
          <w:rFonts w:cstheme="minorHAnsi"/>
          <w:lang w:val="en-US"/>
        </w:rPr>
        <w:t xml:space="preserve">information </w:t>
      </w:r>
      <w:r w:rsidR="00972428" w:rsidRPr="00A01669">
        <w:rPr>
          <w:rFonts w:cstheme="minorHAnsi"/>
          <w:lang w:val="en-US"/>
        </w:rPr>
        <w:t xml:space="preserve">by trained physicians, written material </w:t>
      </w:r>
      <w:r w:rsidRPr="00A01669">
        <w:rPr>
          <w:rFonts w:cstheme="minorHAnsi"/>
          <w:noProof/>
          <w:lang w:val="en-US"/>
        </w:rPr>
        <w:t>and</w:t>
      </w:r>
      <w:r w:rsidRPr="00A01669">
        <w:rPr>
          <w:rFonts w:cstheme="minorHAnsi"/>
          <w:lang w:val="en-US"/>
        </w:rPr>
        <w:t xml:space="preserve"> the free </w:t>
      </w:r>
      <w:r w:rsidR="004613F7" w:rsidRPr="00A01669">
        <w:rPr>
          <w:rFonts w:cstheme="minorHAnsi"/>
          <w:lang w:val="en-US"/>
        </w:rPr>
        <w:t>tailored treatment. They sign an informed</w:t>
      </w:r>
      <w:r w:rsidR="00737C5B" w:rsidRPr="00A01669">
        <w:rPr>
          <w:rFonts w:cstheme="minorHAnsi"/>
          <w:lang w:val="en-US"/>
        </w:rPr>
        <w:t xml:space="preserve"> consent to charge information o</w:t>
      </w:r>
      <w:r w:rsidR="004613F7" w:rsidRPr="00A01669">
        <w:rPr>
          <w:rFonts w:cstheme="minorHAnsi"/>
          <w:lang w:val="en-US"/>
        </w:rPr>
        <w:t xml:space="preserve">n a database located in the hospital pharmacy and </w:t>
      </w:r>
      <w:r w:rsidR="00972428" w:rsidRPr="00A01669">
        <w:rPr>
          <w:rFonts w:cstheme="minorHAnsi"/>
          <w:lang w:val="en-US"/>
        </w:rPr>
        <w:t xml:space="preserve">they </w:t>
      </w:r>
      <w:r w:rsidR="00972428" w:rsidRPr="00A01669">
        <w:rPr>
          <w:rFonts w:cstheme="minorHAnsi"/>
          <w:noProof/>
          <w:lang w:val="en-US"/>
        </w:rPr>
        <w:t>are</w:t>
      </w:r>
      <w:r w:rsidR="004613F7" w:rsidRPr="00A01669">
        <w:rPr>
          <w:rFonts w:cstheme="minorHAnsi"/>
          <w:noProof/>
          <w:lang w:val="en-US"/>
        </w:rPr>
        <w:t xml:space="preserve"> contact</w:t>
      </w:r>
      <w:r w:rsidR="00226F52" w:rsidRPr="00A01669">
        <w:rPr>
          <w:rFonts w:cstheme="minorHAnsi"/>
          <w:noProof/>
          <w:lang w:val="en-US"/>
        </w:rPr>
        <w:t>ed</w:t>
      </w:r>
      <w:r w:rsidR="004613F7" w:rsidRPr="00A01669">
        <w:rPr>
          <w:rFonts w:cstheme="minorHAnsi"/>
          <w:lang w:val="en-US"/>
        </w:rPr>
        <w:t xml:space="preserve"> by </w:t>
      </w:r>
      <w:r w:rsidR="007B0358" w:rsidRPr="00A01669">
        <w:rPr>
          <w:rFonts w:cstheme="minorHAnsi"/>
          <w:lang w:val="en-US"/>
        </w:rPr>
        <w:t>phone</w:t>
      </w:r>
      <w:r w:rsidR="004613F7" w:rsidRPr="00A01669">
        <w:rPr>
          <w:rFonts w:cstheme="minorHAnsi"/>
          <w:lang w:val="en-US"/>
        </w:rPr>
        <w:t xml:space="preserve"> at 30, 90 and 180 days after the first office visit.</w:t>
      </w:r>
    </w:p>
    <w:p w:rsidR="004613F7" w:rsidRPr="00A01669" w:rsidRDefault="004613F7" w:rsidP="00226F52">
      <w:pPr>
        <w:autoSpaceDE w:val="0"/>
        <w:autoSpaceDN w:val="0"/>
        <w:adjustRightInd w:val="0"/>
        <w:spacing w:before="120" w:after="120" w:line="360" w:lineRule="auto"/>
        <w:ind w:left="90" w:right="432"/>
        <w:jc w:val="both"/>
        <w:rPr>
          <w:rFonts w:cstheme="minorHAnsi"/>
          <w:lang w:val="en-US"/>
        </w:rPr>
      </w:pPr>
      <w:r w:rsidRPr="00A01669">
        <w:rPr>
          <w:rFonts w:cstheme="minorHAnsi"/>
          <w:lang w:val="en-US"/>
        </w:rPr>
        <w:t xml:space="preserve">Every month the patient </w:t>
      </w:r>
      <w:r w:rsidR="002A5990" w:rsidRPr="00A01669">
        <w:rPr>
          <w:rFonts w:cstheme="minorHAnsi"/>
          <w:lang w:val="en-US"/>
        </w:rPr>
        <w:t>must</w:t>
      </w:r>
      <w:r w:rsidRPr="00A01669">
        <w:rPr>
          <w:rFonts w:cstheme="minorHAnsi"/>
          <w:lang w:val="en-US"/>
        </w:rPr>
        <w:t xml:space="preserve"> </w:t>
      </w:r>
      <w:r w:rsidR="00972428" w:rsidRPr="00A01669">
        <w:rPr>
          <w:rFonts w:cstheme="minorHAnsi"/>
          <w:lang w:val="en-US"/>
        </w:rPr>
        <w:t>fetch</w:t>
      </w:r>
      <w:r w:rsidRPr="00A01669">
        <w:rPr>
          <w:rFonts w:cstheme="minorHAnsi"/>
          <w:lang w:val="en-US"/>
        </w:rPr>
        <w:t xml:space="preserve"> the medication at the hospital`s pharmacy. If the patient </w:t>
      </w:r>
      <w:r w:rsidR="002A5990" w:rsidRPr="00A01669">
        <w:rPr>
          <w:rFonts w:cstheme="minorHAnsi"/>
          <w:lang w:val="en-US"/>
        </w:rPr>
        <w:t>does</w:t>
      </w:r>
      <w:r w:rsidRPr="00A01669">
        <w:rPr>
          <w:rFonts w:cstheme="minorHAnsi"/>
          <w:lang w:val="en-US"/>
        </w:rPr>
        <w:t xml:space="preserve"> not assist, an alarm </w:t>
      </w:r>
      <w:r w:rsidR="002A5990" w:rsidRPr="00A01669">
        <w:rPr>
          <w:rFonts w:cstheme="minorHAnsi"/>
          <w:lang w:val="en-US"/>
        </w:rPr>
        <w:t>alerts</w:t>
      </w:r>
      <w:r w:rsidRPr="00A01669">
        <w:rPr>
          <w:rFonts w:cstheme="minorHAnsi"/>
          <w:lang w:val="en-US"/>
        </w:rPr>
        <w:t xml:space="preserve"> the pharmacist and the physicians </w:t>
      </w:r>
      <w:r w:rsidR="002A5990" w:rsidRPr="00A01669">
        <w:rPr>
          <w:rFonts w:cstheme="minorHAnsi"/>
          <w:lang w:val="en-US"/>
        </w:rPr>
        <w:t>to</w:t>
      </w:r>
      <w:r w:rsidRPr="00A01669">
        <w:rPr>
          <w:rFonts w:cstheme="minorHAnsi"/>
          <w:lang w:val="en-US"/>
        </w:rPr>
        <w:t xml:space="preserve"> call the patient by phone</w:t>
      </w:r>
      <w:r w:rsidR="00F84A54" w:rsidRPr="00A01669">
        <w:rPr>
          <w:rFonts w:cstheme="minorHAnsi"/>
          <w:lang w:val="en-US"/>
        </w:rPr>
        <w:t xml:space="preserve">. </w:t>
      </w:r>
      <w:r w:rsidRPr="00A01669">
        <w:rPr>
          <w:rFonts w:cstheme="minorHAnsi"/>
          <w:lang w:val="en-US"/>
        </w:rPr>
        <w:t xml:space="preserve"> </w:t>
      </w:r>
      <w:r w:rsidR="00F84A54" w:rsidRPr="00A01669">
        <w:rPr>
          <w:rFonts w:cstheme="minorHAnsi"/>
          <w:lang w:val="en-US"/>
        </w:rPr>
        <w:t>This program allow</w:t>
      </w:r>
      <w:r w:rsidR="00B3389A" w:rsidRPr="00A01669">
        <w:rPr>
          <w:rFonts w:cstheme="minorHAnsi"/>
          <w:lang w:val="en-US"/>
        </w:rPr>
        <w:t>ed</w:t>
      </w:r>
      <w:r w:rsidR="00F84A54" w:rsidRPr="00A01669">
        <w:rPr>
          <w:rFonts w:cstheme="minorHAnsi"/>
          <w:lang w:val="en-US"/>
        </w:rPr>
        <w:t xml:space="preserve"> us to discover that the access to the treatment is not </w:t>
      </w:r>
      <w:r w:rsidR="00F84A54" w:rsidRPr="00A01669">
        <w:rPr>
          <w:rFonts w:cstheme="minorHAnsi"/>
          <w:noProof/>
          <w:lang w:val="en-US"/>
        </w:rPr>
        <w:t>limited</w:t>
      </w:r>
      <w:r w:rsidR="00F84A54" w:rsidRPr="00A01669">
        <w:rPr>
          <w:rFonts w:cstheme="minorHAnsi"/>
          <w:lang w:val="en-US"/>
        </w:rPr>
        <w:t xml:space="preserve"> to the free medication adjudication. </w:t>
      </w:r>
      <w:r w:rsidR="00B3389A" w:rsidRPr="00A01669">
        <w:rPr>
          <w:rFonts w:cstheme="minorHAnsi"/>
          <w:lang w:val="en-US"/>
        </w:rPr>
        <w:t>We</w:t>
      </w:r>
      <w:r w:rsidR="00F84A54" w:rsidRPr="00A01669">
        <w:rPr>
          <w:rFonts w:cstheme="minorHAnsi"/>
          <w:lang w:val="en-US"/>
        </w:rPr>
        <w:t xml:space="preserve"> </w:t>
      </w:r>
      <w:r w:rsidR="00B3389A" w:rsidRPr="00A01669">
        <w:rPr>
          <w:rFonts w:cstheme="minorHAnsi"/>
          <w:lang w:val="en-US"/>
        </w:rPr>
        <w:t xml:space="preserve">detected </w:t>
      </w:r>
      <w:r w:rsidR="00F84A54" w:rsidRPr="00A01669">
        <w:rPr>
          <w:rFonts w:cstheme="minorHAnsi"/>
          <w:lang w:val="en-US"/>
        </w:rPr>
        <w:t xml:space="preserve">problems related to time and </w:t>
      </w:r>
      <w:r w:rsidR="001D731D" w:rsidRPr="00A01669">
        <w:rPr>
          <w:rFonts w:cstheme="minorHAnsi"/>
          <w:lang w:val="en-US"/>
        </w:rPr>
        <w:t>budget availability</w:t>
      </w:r>
      <w:r w:rsidR="00B3389A" w:rsidRPr="00A01669">
        <w:rPr>
          <w:rFonts w:cstheme="minorHAnsi"/>
          <w:lang w:val="en-US"/>
        </w:rPr>
        <w:t xml:space="preserve">, </w:t>
      </w:r>
      <w:r w:rsidR="00F84A54" w:rsidRPr="00A01669">
        <w:rPr>
          <w:rFonts w:cstheme="minorHAnsi"/>
          <w:lang w:val="en-US"/>
        </w:rPr>
        <w:t xml:space="preserve">and lack of information </w:t>
      </w:r>
      <w:r w:rsidR="002A5990" w:rsidRPr="00A01669">
        <w:rPr>
          <w:rFonts w:cstheme="minorHAnsi"/>
          <w:lang w:val="en-US"/>
        </w:rPr>
        <w:t>attending</w:t>
      </w:r>
      <w:r w:rsidR="00B3389A" w:rsidRPr="00A01669">
        <w:rPr>
          <w:rFonts w:cstheme="minorHAnsi"/>
          <w:lang w:val="en-US"/>
        </w:rPr>
        <w:t xml:space="preserve"> to the adherence</w:t>
      </w:r>
      <w:r w:rsidR="00F84A54" w:rsidRPr="00A01669">
        <w:rPr>
          <w:rFonts w:cstheme="minorHAnsi"/>
          <w:lang w:val="en-US"/>
        </w:rPr>
        <w:t xml:space="preserve">. </w:t>
      </w:r>
      <w:r w:rsidR="00B3389A" w:rsidRPr="00A01669">
        <w:rPr>
          <w:rFonts w:cstheme="minorHAnsi"/>
          <w:lang w:val="en-US"/>
        </w:rPr>
        <w:t>With this information w</w:t>
      </w:r>
      <w:r w:rsidR="00F84A54" w:rsidRPr="00A01669">
        <w:rPr>
          <w:rFonts w:cstheme="minorHAnsi"/>
          <w:lang w:val="en-US"/>
        </w:rPr>
        <w:t xml:space="preserve">e changed </w:t>
      </w:r>
      <w:r w:rsidR="00B3389A" w:rsidRPr="00A01669">
        <w:rPr>
          <w:rFonts w:cstheme="minorHAnsi"/>
          <w:lang w:val="en-US"/>
        </w:rPr>
        <w:t>our</w:t>
      </w:r>
      <w:r w:rsidR="00F84A54" w:rsidRPr="00A01669">
        <w:rPr>
          <w:rFonts w:cstheme="minorHAnsi"/>
          <w:lang w:val="en-US"/>
        </w:rPr>
        <w:t xml:space="preserve"> strategy:</w:t>
      </w:r>
      <w:r w:rsidRPr="00A01669">
        <w:rPr>
          <w:rFonts w:cstheme="minorHAnsi"/>
          <w:lang w:val="en-US"/>
        </w:rPr>
        <w:t xml:space="preserve"> </w:t>
      </w:r>
      <w:r w:rsidR="00B3389A" w:rsidRPr="00A01669">
        <w:rPr>
          <w:rFonts w:cstheme="minorHAnsi"/>
          <w:lang w:val="en-US"/>
        </w:rPr>
        <w:t xml:space="preserve">we included </w:t>
      </w:r>
      <w:r w:rsidRPr="00A01669">
        <w:rPr>
          <w:rFonts w:cstheme="minorHAnsi"/>
          <w:lang w:val="en-US"/>
        </w:rPr>
        <w:t xml:space="preserve">a social assistant visit </w:t>
      </w:r>
      <w:r w:rsidR="00737C5B" w:rsidRPr="00A01669">
        <w:rPr>
          <w:rFonts w:cstheme="minorHAnsi"/>
          <w:lang w:val="en-US"/>
        </w:rPr>
        <w:t>to the patient’</w:t>
      </w:r>
      <w:r w:rsidR="00B3389A" w:rsidRPr="00A01669">
        <w:rPr>
          <w:rFonts w:cstheme="minorHAnsi"/>
          <w:lang w:val="en-US"/>
        </w:rPr>
        <w:t xml:space="preserve">s house to know the reasons why they were not </w:t>
      </w:r>
      <w:r w:rsidR="002A5990" w:rsidRPr="00A01669">
        <w:rPr>
          <w:rFonts w:cstheme="minorHAnsi"/>
          <w:lang w:val="en-US"/>
        </w:rPr>
        <w:t>complying</w:t>
      </w:r>
      <w:r w:rsidR="00B3389A" w:rsidRPr="00A01669">
        <w:rPr>
          <w:rFonts w:cstheme="minorHAnsi"/>
          <w:lang w:val="en-US"/>
        </w:rPr>
        <w:t xml:space="preserve"> with the treatment</w:t>
      </w:r>
      <w:r w:rsidRPr="00A01669">
        <w:rPr>
          <w:rFonts w:cstheme="minorHAnsi"/>
          <w:lang w:val="en-US"/>
        </w:rPr>
        <w:t>.</w:t>
      </w:r>
    </w:p>
    <w:p w:rsidR="00F84A54" w:rsidRPr="00A01669" w:rsidRDefault="00B3389A" w:rsidP="00226F52">
      <w:pPr>
        <w:autoSpaceDE w:val="0"/>
        <w:autoSpaceDN w:val="0"/>
        <w:adjustRightInd w:val="0"/>
        <w:spacing w:before="120" w:after="120" w:line="360" w:lineRule="auto"/>
        <w:ind w:left="90" w:right="432"/>
        <w:jc w:val="both"/>
        <w:rPr>
          <w:rFonts w:cstheme="minorHAnsi"/>
          <w:lang w:val="en-US"/>
        </w:rPr>
      </w:pPr>
      <w:r w:rsidRPr="00A01669">
        <w:rPr>
          <w:rFonts w:cstheme="minorHAnsi"/>
          <w:lang w:val="en-US"/>
        </w:rPr>
        <w:lastRenderedPageBreak/>
        <w:t>We noticed that t</w:t>
      </w:r>
      <w:r w:rsidR="00F84A54" w:rsidRPr="00A01669">
        <w:rPr>
          <w:rFonts w:cstheme="minorHAnsi"/>
          <w:lang w:val="en-US"/>
        </w:rPr>
        <w:t xml:space="preserve">he adherence changed dramatically when the patients receive the call and </w:t>
      </w:r>
      <w:r w:rsidR="00226F52" w:rsidRPr="00A01669">
        <w:rPr>
          <w:rFonts w:cstheme="minorHAnsi"/>
          <w:lang w:val="en-US"/>
        </w:rPr>
        <w:t>e</w:t>
      </w:r>
      <w:r w:rsidR="00F84A54" w:rsidRPr="00A01669">
        <w:rPr>
          <w:rFonts w:cstheme="minorHAnsi"/>
          <w:noProof/>
          <w:lang w:val="en-US"/>
        </w:rPr>
        <w:t>specially</w:t>
      </w:r>
      <w:r w:rsidR="00F84A54" w:rsidRPr="00A01669">
        <w:rPr>
          <w:rFonts w:cstheme="minorHAnsi"/>
          <w:lang w:val="en-US"/>
        </w:rPr>
        <w:t xml:space="preserve"> when they are </w:t>
      </w:r>
      <w:r w:rsidR="002A5990" w:rsidRPr="00A01669">
        <w:rPr>
          <w:rFonts w:cstheme="minorHAnsi"/>
          <w:lang w:val="en-US"/>
        </w:rPr>
        <w:t>visited,</w:t>
      </w:r>
      <w:r w:rsidR="00F84A54" w:rsidRPr="00A01669">
        <w:rPr>
          <w:rFonts w:cstheme="minorHAnsi"/>
          <w:lang w:val="en-US"/>
        </w:rPr>
        <w:t xml:space="preserve"> and the information is reinforced by trained </w:t>
      </w:r>
      <w:r w:rsidR="002A5990" w:rsidRPr="00A01669">
        <w:rPr>
          <w:rFonts w:cstheme="minorHAnsi"/>
          <w:lang w:val="en-US"/>
        </w:rPr>
        <w:t>personnel</w:t>
      </w:r>
      <w:r w:rsidR="00F84A54" w:rsidRPr="00A01669">
        <w:rPr>
          <w:rFonts w:cstheme="minorHAnsi"/>
          <w:lang w:val="en-US"/>
        </w:rPr>
        <w:t>.</w:t>
      </w:r>
    </w:p>
    <w:p w:rsidR="00B3389A" w:rsidRPr="00A01669" w:rsidRDefault="00B3389A" w:rsidP="00226F52">
      <w:pPr>
        <w:autoSpaceDE w:val="0"/>
        <w:autoSpaceDN w:val="0"/>
        <w:adjustRightInd w:val="0"/>
        <w:spacing w:before="120" w:after="120" w:line="360" w:lineRule="auto"/>
        <w:ind w:left="90" w:right="432"/>
        <w:jc w:val="both"/>
        <w:rPr>
          <w:rFonts w:cstheme="minorHAnsi"/>
          <w:lang w:val="en-US"/>
        </w:rPr>
      </w:pPr>
      <w:r w:rsidRPr="00A01669">
        <w:rPr>
          <w:rFonts w:cstheme="minorHAnsi"/>
          <w:lang w:val="en-US"/>
        </w:rPr>
        <w:t xml:space="preserve">To complete the program, every year the mayor and </w:t>
      </w:r>
      <w:r w:rsidR="002A5990" w:rsidRPr="00A01669">
        <w:rPr>
          <w:rFonts w:cstheme="minorHAnsi"/>
          <w:lang w:val="en-US"/>
        </w:rPr>
        <w:t>policymakers</w:t>
      </w:r>
      <w:r w:rsidRPr="00A01669">
        <w:rPr>
          <w:rFonts w:cstheme="minorHAnsi"/>
          <w:lang w:val="en-US"/>
        </w:rPr>
        <w:t xml:space="preserve"> of San Miguel organize a meeting with the patients and their families to show the results and to reinforce some preventive strategies like exercise and diet (see images below)</w:t>
      </w:r>
      <w:r w:rsidR="00737C5B" w:rsidRPr="00A01669">
        <w:rPr>
          <w:rFonts w:cstheme="minorHAnsi"/>
          <w:lang w:val="en-US"/>
        </w:rPr>
        <w:t>.</w:t>
      </w:r>
    </w:p>
    <w:p w:rsidR="00797417" w:rsidRDefault="00B3389A" w:rsidP="00226F52">
      <w:pPr>
        <w:autoSpaceDE w:val="0"/>
        <w:autoSpaceDN w:val="0"/>
        <w:adjustRightInd w:val="0"/>
        <w:spacing w:before="120" w:after="120" w:line="360" w:lineRule="auto"/>
        <w:ind w:left="90" w:right="432"/>
        <w:jc w:val="both"/>
        <w:rPr>
          <w:rFonts w:cstheme="minorHAnsi"/>
          <w:lang w:val="en-US"/>
        </w:rPr>
      </w:pPr>
      <w:r w:rsidRPr="00A01669">
        <w:rPr>
          <w:rFonts w:cstheme="minorHAnsi"/>
          <w:lang w:val="en-US"/>
        </w:rPr>
        <w:t>We believe that this small pilot strategy is suitable</w:t>
      </w:r>
      <w:r w:rsidR="004136F6" w:rsidRPr="00A01669">
        <w:rPr>
          <w:rFonts w:cstheme="minorHAnsi"/>
          <w:lang w:val="en-US"/>
        </w:rPr>
        <w:t xml:space="preserve"> for other </w:t>
      </w:r>
      <w:r w:rsidR="002A5990" w:rsidRPr="00A01669">
        <w:rPr>
          <w:rFonts w:cstheme="minorHAnsi"/>
          <w:lang w:val="en-US"/>
        </w:rPr>
        <w:t>areas</w:t>
      </w:r>
      <w:r w:rsidR="004136F6" w:rsidRPr="00A01669">
        <w:rPr>
          <w:rFonts w:cstheme="minorHAnsi"/>
          <w:lang w:val="en-US"/>
        </w:rPr>
        <w:t xml:space="preserve">, </w:t>
      </w:r>
      <w:r w:rsidR="002A5990" w:rsidRPr="00A01669">
        <w:rPr>
          <w:rFonts w:cstheme="minorHAnsi"/>
          <w:lang w:val="en-US"/>
        </w:rPr>
        <w:t>applying</w:t>
      </w:r>
      <w:r w:rsidR="004136F6" w:rsidRPr="00A01669">
        <w:rPr>
          <w:rFonts w:cstheme="minorHAnsi"/>
          <w:lang w:val="en-US"/>
        </w:rPr>
        <w:t xml:space="preserve"> their </w:t>
      </w:r>
      <w:r w:rsidR="002A5990" w:rsidRPr="00A01669">
        <w:rPr>
          <w:rFonts w:cstheme="minorHAnsi"/>
          <w:lang w:val="en-US"/>
        </w:rPr>
        <w:t>own</w:t>
      </w:r>
      <w:r w:rsidR="004136F6" w:rsidRPr="00A01669">
        <w:rPr>
          <w:rFonts w:cstheme="minorHAnsi"/>
          <w:lang w:val="en-US"/>
        </w:rPr>
        <w:t xml:space="preserve"> roadmaps. </w:t>
      </w:r>
      <w:r w:rsidR="002A5990" w:rsidRPr="00A01669">
        <w:rPr>
          <w:rFonts w:cstheme="minorHAnsi"/>
          <w:lang w:val="en-US"/>
        </w:rPr>
        <w:t>These results</w:t>
      </w:r>
      <w:r w:rsidR="004136F6" w:rsidRPr="00A01669">
        <w:rPr>
          <w:rFonts w:cstheme="minorHAnsi"/>
          <w:lang w:val="en-US"/>
        </w:rPr>
        <w:t xml:space="preserve"> will be presented </w:t>
      </w:r>
      <w:r w:rsidR="00F84A54" w:rsidRPr="00A01669">
        <w:rPr>
          <w:rFonts w:cstheme="minorHAnsi"/>
          <w:lang w:val="en-US"/>
        </w:rPr>
        <w:t xml:space="preserve">in one of our national congresses </w:t>
      </w:r>
      <w:r w:rsidR="004136F6" w:rsidRPr="00A01669">
        <w:rPr>
          <w:rFonts w:cstheme="minorHAnsi"/>
          <w:lang w:val="en-US"/>
        </w:rPr>
        <w:t>of</w:t>
      </w:r>
      <w:r w:rsidR="00F84A54" w:rsidRPr="00A01669">
        <w:rPr>
          <w:rFonts w:cstheme="minorHAnsi"/>
          <w:lang w:val="en-US"/>
        </w:rPr>
        <w:t xml:space="preserve"> cardiology in Argentina</w:t>
      </w:r>
      <w:r w:rsidR="00797417" w:rsidRPr="00A01669">
        <w:rPr>
          <w:rFonts w:cstheme="minorHAnsi"/>
          <w:lang w:val="en-US"/>
        </w:rPr>
        <w:t xml:space="preserve"> (</w:t>
      </w:r>
      <w:hyperlink r:id="rId7" w:history="1">
        <w:r w:rsidR="00797417" w:rsidRPr="00A01669">
          <w:rPr>
            <w:rStyle w:val="Hyperlink"/>
            <w:rFonts w:cs="Calibri"/>
            <w:bCs/>
            <w:shd w:val="clear" w:color="auto" w:fill="FFFFFF"/>
            <w:lang w:val="en-US"/>
          </w:rPr>
          <w:t xml:space="preserve">XXXVI </w:t>
        </w:r>
        <w:proofErr w:type="spellStart"/>
        <w:r w:rsidR="00797417" w:rsidRPr="00A01669">
          <w:rPr>
            <w:rStyle w:val="Hyperlink"/>
            <w:rFonts w:cs="Calibri"/>
            <w:bCs/>
            <w:shd w:val="clear" w:color="auto" w:fill="FFFFFF"/>
            <w:lang w:val="en-US"/>
          </w:rPr>
          <w:t>Congreso</w:t>
        </w:r>
        <w:proofErr w:type="spellEnd"/>
        <w:r w:rsidR="00797417" w:rsidRPr="00A01669">
          <w:rPr>
            <w:rStyle w:val="Hyperlink"/>
            <w:rFonts w:cs="Calibri"/>
            <w:bCs/>
            <w:shd w:val="clear" w:color="auto" w:fill="FFFFFF"/>
            <w:lang w:val="en-US"/>
          </w:rPr>
          <w:t xml:space="preserve"> Nacional de Cardiología 2018</w:t>
        </w:r>
      </w:hyperlink>
      <w:r w:rsidR="00797417" w:rsidRPr="00A01669">
        <w:rPr>
          <w:rFonts w:cs="Calibri"/>
          <w:bCs/>
          <w:shd w:val="clear" w:color="auto" w:fill="FFFFFF"/>
          <w:lang w:val="en-US"/>
        </w:rPr>
        <w:t>)</w:t>
      </w:r>
      <w:r w:rsidR="004136F6" w:rsidRPr="00A01669">
        <w:rPr>
          <w:rFonts w:cstheme="minorHAnsi"/>
          <w:lang w:val="en-US"/>
        </w:rPr>
        <w:t>*</w:t>
      </w:r>
      <w:r w:rsidR="00F84A54" w:rsidRPr="00A01669">
        <w:rPr>
          <w:rFonts w:cstheme="minorHAnsi"/>
          <w:lang w:val="en-US"/>
        </w:rPr>
        <w:t>.</w:t>
      </w:r>
    </w:p>
    <w:p w:rsidR="00A01669" w:rsidRPr="00A01669" w:rsidRDefault="00A01669" w:rsidP="00226F52">
      <w:pPr>
        <w:autoSpaceDE w:val="0"/>
        <w:autoSpaceDN w:val="0"/>
        <w:adjustRightInd w:val="0"/>
        <w:spacing w:before="120" w:after="120" w:line="360" w:lineRule="auto"/>
        <w:ind w:left="90" w:right="432"/>
        <w:jc w:val="both"/>
        <w:rPr>
          <w:rFonts w:cstheme="minorHAnsi"/>
          <w:lang w:val="en-US"/>
        </w:rPr>
      </w:pPr>
    </w:p>
    <w:p w:rsidR="00CB401E" w:rsidRPr="00094286" w:rsidRDefault="004136F6" w:rsidP="00226F52">
      <w:pPr>
        <w:pStyle w:val="yiv8755249185msonormal"/>
        <w:shd w:val="clear" w:color="auto" w:fill="FFFFFF"/>
        <w:spacing w:before="120" w:beforeAutospacing="0" w:after="120" w:afterAutospacing="0" w:line="360" w:lineRule="auto"/>
        <w:ind w:left="90" w:right="432"/>
        <w:jc w:val="both"/>
        <w:rPr>
          <w:rFonts w:asciiTheme="minorHAnsi" w:hAnsiTheme="minorHAnsi" w:cs="Calibri"/>
          <w:sz w:val="22"/>
          <w:szCs w:val="22"/>
          <w:lang w:val="es-ES"/>
        </w:rPr>
      </w:pPr>
      <w:r w:rsidRPr="00094286">
        <w:rPr>
          <w:rFonts w:asciiTheme="minorHAnsi" w:hAnsiTheme="minorHAnsi" w:cstheme="minorHAnsi"/>
          <w:sz w:val="22"/>
          <w:szCs w:val="22"/>
          <w:lang w:val="es-ES"/>
        </w:rPr>
        <w:t>*</w:t>
      </w:r>
      <w:r w:rsidRPr="00094286">
        <w:rPr>
          <w:rFonts w:asciiTheme="minorHAnsi" w:hAnsiTheme="minorHAnsi" w:cs="Calibri"/>
          <w:sz w:val="22"/>
          <w:szCs w:val="22"/>
          <w:lang w:val="es-ES"/>
        </w:rPr>
        <w:t xml:space="preserve"> </w:t>
      </w:r>
      <w:r w:rsidRPr="00094286">
        <w:rPr>
          <w:rFonts w:asciiTheme="minorHAnsi" w:hAnsiTheme="minorHAnsi" w:cs="Calibri"/>
          <w:b/>
          <w:bCs/>
          <w:sz w:val="22"/>
          <w:szCs w:val="22"/>
          <w:shd w:val="clear" w:color="auto" w:fill="FFFFFF"/>
          <w:lang w:val="es-ES"/>
        </w:rPr>
        <w:t>XXXVI Congreso Nacional de Cardiología 2018</w:t>
      </w:r>
      <w:r w:rsidRPr="00094286">
        <w:rPr>
          <w:rFonts w:asciiTheme="minorHAnsi" w:hAnsiTheme="minorHAnsi" w:cs="Calibri"/>
          <w:sz w:val="22"/>
          <w:szCs w:val="22"/>
          <w:lang w:val="es-ES"/>
        </w:rPr>
        <w:t xml:space="preserve"> </w:t>
      </w:r>
      <w:r w:rsidR="00CB401E" w:rsidRPr="00094286">
        <w:rPr>
          <w:rFonts w:asciiTheme="minorHAnsi" w:hAnsiTheme="minorHAnsi" w:cs="Calibri"/>
          <w:sz w:val="22"/>
          <w:szCs w:val="22"/>
          <w:lang w:val="es-ES"/>
        </w:rPr>
        <w:t xml:space="preserve"> </w:t>
      </w:r>
    </w:p>
    <w:p w:rsidR="00797417" w:rsidRPr="00A01669" w:rsidRDefault="00797417" w:rsidP="00226F52">
      <w:pPr>
        <w:pStyle w:val="yiv8755249185msonormal"/>
        <w:shd w:val="clear" w:color="auto" w:fill="FFFFFF"/>
        <w:spacing w:before="120" w:beforeAutospacing="0" w:after="120" w:afterAutospacing="0" w:line="360" w:lineRule="auto"/>
        <w:ind w:left="90" w:right="432"/>
        <w:jc w:val="both"/>
        <w:rPr>
          <w:rFonts w:asciiTheme="minorHAnsi" w:hAnsiTheme="minorHAnsi" w:cs="Calibri"/>
          <w:b/>
          <w:sz w:val="22"/>
          <w:szCs w:val="22"/>
          <w:lang w:val="en-US"/>
        </w:rPr>
      </w:pPr>
      <w:r w:rsidRPr="00A01669">
        <w:rPr>
          <w:rFonts w:asciiTheme="minorHAnsi" w:hAnsiTheme="minorHAnsi" w:cs="Calibri"/>
          <w:b/>
          <w:sz w:val="22"/>
          <w:szCs w:val="22"/>
          <w:lang w:val="en-US"/>
        </w:rPr>
        <w:t xml:space="preserve">Event: Adherence to treatment after an acute coronary </w:t>
      </w:r>
    </w:p>
    <w:p w:rsidR="004136F6" w:rsidRPr="00094286" w:rsidRDefault="004136F6" w:rsidP="00226F52">
      <w:pPr>
        <w:pStyle w:val="yiv8755249185msonormal"/>
        <w:shd w:val="clear" w:color="auto" w:fill="FFFFFF"/>
        <w:spacing w:before="120" w:beforeAutospacing="0" w:after="120" w:afterAutospacing="0" w:line="360" w:lineRule="auto"/>
        <w:ind w:left="90" w:right="432"/>
        <w:jc w:val="both"/>
        <w:rPr>
          <w:rFonts w:asciiTheme="minorHAnsi" w:hAnsiTheme="minorHAnsi" w:cs="Calibri"/>
          <w:sz w:val="22"/>
          <w:szCs w:val="22"/>
          <w:lang w:val="es-ES"/>
        </w:rPr>
      </w:pPr>
      <w:r w:rsidRPr="00094286">
        <w:rPr>
          <w:rFonts w:asciiTheme="minorHAnsi" w:hAnsiTheme="minorHAnsi" w:cs="Calibri"/>
          <w:sz w:val="22"/>
          <w:szCs w:val="22"/>
          <w:lang w:val="es-ES"/>
        </w:rPr>
        <w:t xml:space="preserve">Camilo </w:t>
      </w:r>
      <w:proofErr w:type="spellStart"/>
      <w:r w:rsidRPr="00094286">
        <w:rPr>
          <w:rFonts w:asciiTheme="minorHAnsi" w:hAnsiTheme="minorHAnsi" w:cs="Calibri"/>
          <w:sz w:val="22"/>
          <w:szCs w:val="22"/>
          <w:lang w:val="es-ES"/>
        </w:rPr>
        <w:t>Pulmari</w:t>
      </w:r>
      <w:proofErr w:type="spellEnd"/>
    </w:p>
    <w:p w:rsidR="004136F6" w:rsidRPr="00A01669" w:rsidRDefault="004136F6" w:rsidP="00226F52">
      <w:pPr>
        <w:pStyle w:val="yiv8755249185msonormal"/>
        <w:shd w:val="clear" w:color="auto" w:fill="FFFFFF"/>
        <w:spacing w:before="120" w:beforeAutospacing="0" w:after="120" w:afterAutospacing="0" w:line="360" w:lineRule="auto"/>
        <w:ind w:left="90" w:right="432"/>
        <w:jc w:val="both"/>
        <w:rPr>
          <w:rFonts w:asciiTheme="minorHAnsi" w:hAnsiTheme="minorHAnsi" w:cs="Calibri"/>
          <w:sz w:val="22"/>
          <w:szCs w:val="22"/>
          <w:lang w:val="es-ES"/>
        </w:rPr>
      </w:pPr>
      <w:r w:rsidRPr="00A01669">
        <w:rPr>
          <w:rFonts w:asciiTheme="minorHAnsi" w:hAnsiTheme="minorHAnsi" w:cs="Calibri"/>
          <w:sz w:val="22"/>
          <w:szCs w:val="22"/>
          <w:lang w:val="es-ES"/>
        </w:rPr>
        <w:t xml:space="preserve">Gabriel </w:t>
      </w:r>
      <w:proofErr w:type="spellStart"/>
      <w:r w:rsidRPr="00A01669">
        <w:rPr>
          <w:rFonts w:asciiTheme="minorHAnsi" w:hAnsiTheme="minorHAnsi" w:cs="Calibri"/>
          <w:sz w:val="22"/>
          <w:szCs w:val="22"/>
          <w:lang w:val="es-ES"/>
        </w:rPr>
        <w:t>Jans</w:t>
      </w:r>
      <w:proofErr w:type="spellEnd"/>
    </w:p>
    <w:p w:rsidR="004136F6" w:rsidRPr="00A01669" w:rsidRDefault="004136F6" w:rsidP="00226F52">
      <w:pPr>
        <w:pStyle w:val="yiv8755249185msonormal"/>
        <w:shd w:val="clear" w:color="auto" w:fill="FFFFFF"/>
        <w:spacing w:before="120" w:beforeAutospacing="0" w:after="120" w:afterAutospacing="0" w:line="360" w:lineRule="auto"/>
        <w:ind w:left="90" w:right="432"/>
        <w:jc w:val="both"/>
        <w:rPr>
          <w:rFonts w:asciiTheme="minorHAnsi" w:hAnsiTheme="minorHAnsi" w:cs="Calibri"/>
          <w:sz w:val="22"/>
          <w:szCs w:val="22"/>
          <w:lang w:val="es-ES"/>
        </w:rPr>
      </w:pPr>
      <w:r w:rsidRPr="00A01669">
        <w:rPr>
          <w:rFonts w:asciiTheme="minorHAnsi" w:hAnsiTheme="minorHAnsi" w:cs="Calibri"/>
          <w:sz w:val="22"/>
          <w:szCs w:val="22"/>
          <w:lang w:val="es-ES"/>
        </w:rPr>
        <w:t xml:space="preserve">Martin </w:t>
      </w:r>
      <w:proofErr w:type="spellStart"/>
      <w:r w:rsidRPr="00A01669">
        <w:rPr>
          <w:rFonts w:asciiTheme="minorHAnsi" w:hAnsiTheme="minorHAnsi" w:cs="Calibri"/>
          <w:sz w:val="22"/>
          <w:szCs w:val="22"/>
          <w:lang w:val="es-ES"/>
        </w:rPr>
        <w:t>Farfan</w:t>
      </w:r>
      <w:proofErr w:type="spellEnd"/>
    </w:p>
    <w:p w:rsidR="004136F6" w:rsidRPr="00A01669" w:rsidRDefault="004136F6" w:rsidP="00226F52">
      <w:pPr>
        <w:pStyle w:val="yiv8755249185msonormal"/>
        <w:shd w:val="clear" w:color="auto" w:fill="FFFFFF"/>
        <w:spacing w:before="120" w:beforeAutospacing="0" w:after="120" w:afterAutospacing="0" w:line="360" w:lineRule="auto"/>
        <w:ind w:left="90" w:right="432"/>
        <w:jc w:val="both"/>
        <w:rPr>
          <w:rFonts w:asciiTheme="minorHAnsi" w:hAnsiTheme="minorHAnsi" w:cs="Calibri"/>
          <w:sz w:val="22"/>
          <w:szCs w:val="22"/>
          <w:lang w:val="es-ES"/>
        </w:rPr>
      </w:pPr>
      <w:r w:rsidRPr="00A01669">
        <w:rPr>
          <w:rFonts w:asciiTheme="minorHAnsi" w:hAnsiTheme="minorHAnsi" w:cs="Calibri"/>
          <w:sz w:val="22"/>
          <w:szCs w:val="22"/>
          <w:lang w:val="es-ES"/>
        </w:rPr>
        <w:t xml:space="preserve">Osvaldo </w:t>
      </w:r>
      <w:proofErr w:type="spellStart"/>
      <w:r w:rsidRPr="00A01669">
        <w:rPr>
          <w:rFonts w:asciiTheme="minorHAnsi" w:hAnsiTheme="minorHAnsi" w:cs="Calibri"/>
          <w:sz w:val="22"/>
          <w:szCs w:val="22"/>
          <w:lang w:val="es-ES"/>
        </w:rPr>
        <w:t>Simonovich</w:t>
      </w:r>
      <w:proofErr w:type="spellEnd"/>
    </w:p>
    <w:p w:rsidR="004136F6" w:rsidRPr="00A01669" w:rsidRDefault="004136F6" w:rsidP="00226F52">
      <w:pPr>
        <w:pStyle w:val="yiv8755249185msonormal"/>
        <w:shd w:val="clear" w:color="auto" w:fill="FFFFFF"/>
        <w:spacing w:before="120" w:beforeAutospacing="0" w:after="120" w:afterAutospacing="0" w:line="360" w:lineRule="auto"/>
        <w:ind w:left="90" w:right="432"/>
        <w:jc w:val="both"/>
        <w:rPr>
          <w:rFonts w:asciiTheme="minorHAnsi" w:hAnsiTheme="minorHAnsi" w:cs="Calibri"/>
          <w:sz w:val="22"/>
          <w:szCs w:val="22"/>
          <w:lang w:val="es-ES"/>
        </w:rPr>
      </w:pPr>
      <w:r w:rsidRPr="00A01669">
        <w:rPr>
          <w:rFonts w:asciiTheme="minorHAnsi" w:hAnsiTheme="minorHAnsi" w:cs="Calibri"/>
          <w:sz w:val="22"/>
          <w:szCs w:val="22"/>
          <w:lang w:val="es-ES"/>
        </w:rPr>
        <w:t xml:space="preserve">Guadalupe </w:t>
      </w:r>
      <w:proofErr w:type="spellStart"/>
      <w:r w:rsidRPr="00A01669">
        <w:rPr>
          <w:rFonts w:asciiTheme="minorHAnsi" w:hAnsiTheme="minorHAnsi" w:cs="Calibri"/>
          <w:sz w:val="22"/>
          <w:szCs w:val="22"/>
          <w:lang w:val="es-ES"/>
        </w:rPr>
        <w:t>Labado</w:t>
      </w:r>
      <w:proofErr w:type="spellEnd"/>
    </w:p>
    <w:p w:rsidR="004136F6" w:rsidRPr="00A01669" w:rsidRDefault="004136F6" w:rsidP="00226F52">
      <w:pPr>
        <w:pStyle w:val="yiv8755249185msonormal"/>
        <w:shd w:val="clear" w:color="auto" w:fill="FFFFFF"/>
        <w:spacing w:before="120" w:beforeAutospacing="0" w:after="120" w:afterAutospacing="0" w:line="360" w:lineRule="auto"/>
        <w:ind w:left="90" w:right="432"/>
        <w:jc w:val="both"/>
        <w:rPr>
          <w:rFonts w:asciiTheme="minorHAnsi" w:hAnsiTheme="minorHAnsi" w:cs="Calibri"/>
          <w:sz w:val="22"/>
          <w:szCs w:val="22"/>
          <w:lang w:val="es-ES"/>
        </w:rPr>
      </w:pPr>
      <w:r w:rsidRPr="00A01669">
        <w:rPr>
          <w:rFonts w:asciiTheme="minorHAnsi" w:hAnsiTheme="minorHAnsi" w:cs="Calibri"/>
          <w:sz w:val="22"/>
          <w:szCs w:val="22"/>
          <w:lang w:val="es-ES"/>
        </w:rPr>
        <w:t xml:space="preserve">Irina </w:t>
      </w:r>
      <w:proofErr w:type="spellStart"/>
      <w:r w:rsidRPr="00A01669">
        <w:rPr>
          <w:rFonts w:asciiTheme="minorHAnsi" w:hAnsiTheme="minorHAnsi" w:cs="Calibri"/>
          <w:sz w:val="22"/>
          <w:szCs w:val="22"/>
          <w:lang w:val="es-ES"/>
        </w:rPr>
        <w:t>Hiskin</w:t>
      </w:r>
      <w:proofErr w:type="spellEnd"/>
    </w:p>
    <w:p w:rsidR="004136F6" w:rsidRPr="00A01669" w:rsidRDefault="004136F6" w:rsidP="00226F52">
      <w:pPr>
        <w:pStyle w:val="yiv8755249185msonormal"/>
        <w:shd w:val="clear" w:color="auto" w:fill="FFFFFF"/>
        <w:spacing w:before="120" w:beforeAutospacing="0" w:after="120" w:afterAutospacing="0" w:line="360" w:lineRule="auto"/>
        <w:ind w:left="90" w:right="432"/>
        <w:jc w:val="both"/>
        <w:rPr>
          <w:rFonts w:asciiTheme="minorHAnsi" w:hAnsiTheme="minorHAnsi" w:cs="Calibri"/>
          <w:sz w:val="22"/>
          <w:szCs w:val="22"/>
          <w:lang w:val="es-ES"/>
        </w:rPr>
      </w:pPr>
      <w:r w:rsidRPr="00A01669">
        <w:rPr>
          <w:rFonts w:asciiTheme="minorHAnsi" w:hAnsiTheme="minorHAnsi" w:cs="Calibri"/>
          <w:sz w:val="22"/>
          <w:szCs w:val="22"/>
          <w:lang w:val="es-ES"/>
        </w:rPr>
        <w:t xml:space="preserve">Ronald </w:t>
      </w:r>
      <w:proofErr w:type="spellStart"/>
      <w:r w:rsidRPr="00A01669">
        <w:rPr>
          <w:rFonts w:asciiTheme="minorHAnsi" w:hAnsiTheme="minorHAnsi" w:cs="Calibri"/>
          <w:sz w:val="22"/>
          <w:szCs w:val="22"/>
          <w:lang w:val="es-ES"/>
        </w:rPr>
        <w:t>Luizaga</w:t>
      </w:r>
      <w:proofErr w:type="spellEnd"/>
    </w:p>
    <w:p w:rsidR="004136F6" w:rsidRPr="00A01669" w:rsidRDefault="004136F6" w:rsidP="00226F52">
      <w:pPr>
        <w:pStyle w:val="yiv8755249185msonormal"/>
        <w:shd w:val="clear" w:color="auto" w:fill="FFFFFF"/>
        <w:spacing w:before="120" w:beforeAutospacing="0" w:after="120" w:afterAutospacing="0" w:line="360" w:lineRule="auto"/>
        <w:ind w:left="90" w:right="432"/>
        <w:jc w:val="both"/>
        <w:rPr>
          <w:rFonts w:asciiTheme="minorHAnsi" w:hAnsiTheme="minorHAnsi" w:cs="Calibri"/>
          <w:sz w:val="22"/>
          <w:szCs w:val="22"/>
          <w:lang w:val="en-US"/>
        </w:rPr>
      </w:pPr>
      <w:proofErr w:type="spellStart"/>
      <w:r w:rsidRPr="00A01669">
        <w:rPr>
          <w:rFonts w:asciiTheme="minorHAnsi" w:hAnsiTheme="minorHAnsi" w:cs="Calibri"/>
          <w:sz w:val="22"/>
          <w:szCs w:val="22"/>
          <w:lang w:val="en-US"/>
        </w:rPr>
        <w:t>Hernán</w:t>
      </w:r>
      <w:proofErr w:type="spellEnd"/>
      <w:r w:rsidRPr="00A01669">
        <w:rPr>
          <w:rFonts w:asciiTheme="minorHAnsi" w:hAnsiTheme="minorHAnsi" w:cs="Calibri"/>
          <w:sz w:val="22"/>
          <w:szCs w:val="22"/>
          <w:lang w:val="en-US"/>
        </w:rPr>
        <w:t xml:space="preserve"> Cohen </w:t>
      </w:r>
      <w:proofErr w:type="spellStart"/>
      <w:r w:rsidRPr="00A01669">
        <w:rPr>
          <w:rFonts w:asciiTheme="minorHAnsi" w:hAnsiTheme="minorHAnsi" w:cs="Calibri"/>
          <w:sz w:val="22"/>
          <w:szCs w:val="22"/>
          <w:lang w:val="en-US"/>
        </w:rPr>
        <w:t>Arazi</w:t>
      </w:r>
      <w:proofErr w:type="spellEnd"/>
    </w:p>
    <w:p w:rsidR="004136F6" w:rsidRPr="00226F52" w:rsidRDefault="004136F6" w:rsidP="00226F52">
      <w:pPr>
        <w:pStyle w:val="yiv8755249185msonormal"/>
        <w:shd w:val="clear" w:color="auto" w:fill="FFFFFF"/>
        <w:spacing w:before="120" w:beforeAutospacing="0" w:after="120" w:afterAutospacing="0" w:line="360" w:lineRule="auto"/>
        <w:ind w:left="90" w:right="432"/>
        <w:jc w:val="both"/>
        <w:rPr>
          <w:rFonts w:ascii="Arial Narrow" w:hAnsi="Arial Narrow" w:cs="Calibri"/>
          <w:color w:val="26282A"/>
          <w:sz w:val="22"/>
          <w:szCs w:val="22"/>
          <w:lang w:val="en-US"/>
        </w:rPr>
      </w:pPr>
    </w:p>
    <w:p w:rsidR="004136F6" w:rsidRPr="00226F52" w:rsidRDefault="00A64F66" w:rsidP="00226F52">
      <w:pPr>
        <w:autoSpaceDE w:val="0"/>
        <w:autoSpaceDN w:val="0"/>
        <w:adjustRightInd w:val="0"/>
        <w:spacing w:before="120" w:after="120" w:line="360" w:lineRule="auto"/>
        <w:ind w:left="90" w:right="432"/>
        <w:jc w:val="both"/>
        <w:rPr>
          <w:rFonts w:ascii="Arial Narrow" w:hAnsi="Arial Narrow" w:cstheme="minorHAnsi"/>
          <w:sz w:val="24"/>
          <w:szCs w:val="24"/>
          <w:lang w:val="en-US"/>
        </w:rPr>
      </w:pPr>
      <w:r w:rsidRPr="00226F52">
        <w:rPr>
          <w:rFonts w:ascii="Arial Narrow" w:hAnsi="Arial Narrow" w:cstheme="minorHAnsi"/>
          <w:noProof/>
          <w:sz w:val="24"/>
          <w:szCs w:val="24"/>
          <w:lang w:val="fr-CH" w:eastAsia="ja-JP"/>
        </w:rPr>
        <w:lastRenderedPageBreak/>
        <w:drawing>
          <wp:inline distT="0" distB="0" distL="0" distR="0">
            <wp:extent cx="4524375" cy="3196693"/>
            <wp:effectExtent l="0" t="0" r="0" b="3810"/>
            <wp:docPr id="8" name="Imagen 8" descr="C:\Users\hcohen\Desktop\PERSONAL\SAC\ENT\PREVENCION SECUNDARIA\programa del pros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cohen\Desktop\PERSONAL\SAC\ENT\PREVENCION SECUNDARIA\programa del pros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323" cy="320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F52">
        <w:rPr>
          <w:rFonts w:ascii="Arial Narrow" w:hAnsi="Arial Narrow" w:cstheme="minorHAnsi"/>
          <w:noProof/>
          <w:sz w:val="24"/>
          <w:szCs w:val="24"/>
          <w:lang w:val="fr-CH" w:eastAsia="ja-JP"/>
        </w:rPr>
        <w:drawing>
          <wp:inline distT="0" distB="0" distL="0" distR="0">
            <wp:extent cx="3798570" cy="1914911"/>
            <wp:effectExtent l="0" t="0" r="0" b="9525"/>
            <wp:docPr id="7" name="Imagen 7" descr="C:\Users\hcohen\Desktop\PERSONAL\SAC\ENT\PREVENCION SECUNDARIA\participan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cohen\Desktop\PERSONAL\SAC\ENT\PREVENCION SECUNDARIA\participant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985" cy="191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F52">
        <w:rPr>
          <w:rFonts w:ascii="Arial Narrow" w:hAnsi="Arial Narrow" w:cstheme="minorHAnsi"/>
          <w:noProof/>
          <w:sz w:val="24"/>
          <w:szCs w:val="24"/>
          <w:lang w:val="fr-CH" w:eastAsia="ja-JP"/>
        </w:rPr>
        <w:drawing>
          <wp:inline distT="0" distB="0" distL="0" distR="0">
            <wp:extent cx="1981200" cy="1320800"/>
            <wp:effectExtent l="0" t="0" r="0" b="0"/>
            <wp:docPr id="6" name="Imagen 6" descr="C:\Users\hcohen\Desktop\PERSONAL\SAC\ENT\PREVENCION SECUNDARIA\intendente y secretario de sal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cohen\Desktop\PERSONAL\SAC\ENT\PREVENCION SECUNDARIA\intendente y secretario de salu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324" cy="132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F52">
        <w:rPr>
          <w:rFonts w:ascii="Arial Narrow" w:hAnsi="Arial Narrow" w:cstheme="minorHAnsi"/>
          <w:noProof/>
          <w:sz w:val="24"/>
          <w:szCs w:val="24"/>
          <w:lang w:val="fr-CH" w:eastAsia="ja-JP"/>
        </w:rPr>
        <w:drawing>
          <wp:inline distT="0" distB="0" distL="0" distR="0">
            <wp:extent cx="2404533" cy="1352550"/>
            <wp:effectExtent l="0" t="0" r="0" b="0"/>
            <wp:docPr id="5" name="Imagen 5" descr="C:\Users\hcohen\Desktop\PERSONAL\SAC\ENT\PREVENCION SECUNDARIA\equipo de trabajo pros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cohen\Desktop\PERSONAL\SAC\ENT\PREVENCION SECUNDARIA\equipo de trabajo prosc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527" cy="135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F52">
        <w:rPr>
          <w:rFonts w:ascii="Arial Narrow" w:hAnsi="Arial Narrow" w:cstheme="minorHAnsi"/>
          <w:noProof/>
          <w:sz w:val="24"/>
          <w:szCs w:val="24"/>
          <w:lang w:val="fr-CH" w:eastAsia="ja-JP"/>
        </w:rPr>
        <w:lastRenderedPageBreak/>
        <w:drawing>
          <wp:inline distT="0" distB="0" distL="0" distR="0">
            <wp:extent cx="3375025" cy="1898452"/>
            <wp:effectExtent l="0" t="0" r="0" b="6985"/>
            <wp:docPr id="4" name="Imagen 4" descr="C:\Users\hcohen\Desktop\PERSONAL\SAC\ENT\PREVENCION SECUNDARIA\dieta pros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cohen\Desktop\PERSONAL\SAC\ENT\PREVENCION SECUNDARIA\dieta prosc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739" cy="190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F52">
        <w:rPr>
          <w:rFonts w:ascii="Arial Narrow" w:hAnsi="Arial Narrow" w:cstheme="minorHAnsi"/>
          <w:noProof/>
          <w:sz w:val="24"/>
          <w:szCs w:val="24"/>
          <w:lang w:val="fr-CH" w:eastAsia="ja-JP"/>
        </w:rPr>
        <w:drawing>
          <wp:inline distT="0" distB="0" distL="0" distR="0">
            <wp:extent cx="1697355" cy="3013334"/>
            <wp:effectExtent l="0" t="0" r="0" b="0"/>
            <wp:docPr id="3" name="Imagen 3" descr="C:\Users\hcohen\Desktop\PERSONAL\SAC\ENT\PREVENCION SECUNDARIA\cocinando con los med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cohen\Desktop\PERSONAL\SAC\ENT\PREVENCION SECUNDARIA\cocinando con los medico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078" cy="303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F52">
        <w:rPr>
          <w:rFonts w:ascii="Arial Narrow" w:hAnsi="Arial Narrow" w:cstheme="minorHAnsi"/>
          <w:noProof/>
          <w:sz w:val="24"/>
          <w:szCs w:val="24"/>
          <w:lang w:val="fr-CH" w:eastAsia="ja-JP"/>
        </w:rPr>
        <w:drawing>
          <wp:inline distT="0" distB="0" distL="0" distR="0">
            <wp:extent cx="1714103" cy="3047295"/>
            <wp:effectExtent l="0" t="0" r="635" b="1270"/>
            <wp:docPr id="2" name="Imagen 2" descr="C:\Users\hcohen\Desktop\PERSONAL\SAC\ENT\PREVENCION SECUNDARIA\camaraderia pros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cohen\Desktop\PERSONAL\SAC\ENT\PREVENCION SECUNDARIA\camaraderia prosc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968" cy="305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F52">
        <w:rPr>
          <w:rFonts w:ascii="Arial Narrow" w:hAnsi="Arial Narrow" w:cstheme="minorHAnsi"/>
          <w:noProof/>
          <w:sz w:val="24"/>
          <w:szCs w:val="24"/>
          <w:lang w:val="fr-CH" w:eastAsia="ja-JP"/>
        </w:rPr>
        <w:drawing>
          <wp:inline distT="0" distB="0" distL="0" distR="0">
            <wp:extent cx="1114425" cy="1160539"/>
            <wp:effectExtent l="0" t="0" r="0" b="1905"/>
            <wp:docPr id="1" name="Imagen 1" descr="C:\Users\hcohen\Desktop\PERSONAL\SAC\ENT\PREVENCION SECUNDARIA\PROSCA-LOGO-GLO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cohen\Desktop\PERSONAL\SAC\ENT\PREVENCION SECUNDARIA\PROSCA-LOGO-GLOB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727" cy="117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FF8" w:rsidRPr="00226F52" w:rsidRDefault="00452FF8" w:rsidP="00226F52">
      <w:pPr>
        <w:autoSpaceDE w:val="0"/>
        <w:autoSpaceDN w:val="0"/>
        <w:adjustRightInd w:val="0"/>
        <w:spacing w:before="120" w:after="120" w:line="360" w:lineRule="auto"/>
        <w:ind w:left="90" w:right="432"/>
        <w:jc w:val="both"/>
        <w:rPr>
          <w:rFonts w:ascii="Arial Narrow" w:hAnsi="Arial Narrow" w:cstheme="minorHAnsi"/>
          <w:sz w:val="24"/>
          <w:szCs w:val="24"/>
          <w:lang w:val="en-US"/>
        </w:rPr>
      </w:pPr>
    </w:p>
    <w:p w:rsidR="00A67FFA" w:rsidRPr="00A67FFA" w:rsidRDefault="00A67FFA" w:rsidP="00A67F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right="432"/>
        <w:jc w:val="both"/>
        <w:rPr>
          <w:rFonts w:ascii="Arial Narrow" w:hAnsi="Arial Narrow" w:cstheme="minorHAnsi"/>
          <w:sz w:val="24"/>
          <w:szCs w:val="24"/>
          <w:lang w:val="en-US"/>
        </w:rPr>
      </w:pPr>
      <w:proofErr w:type="spellStart"/>
      <w:r w:rsidRPr="00A67FFA">
        <w:rPr>
          <w:rFonts w:ascii="Arial Narrow" w:hAnsi="Arial Narrow" w:cstheme="minorHAnsi"/>
          <w:sz w:val="24"/>
          <w:szCs w:val="24"/>
          <w:lang w:val="en-US"/>
        </w:rPr>
        <w:t>Chobanian</w:t>
      </w:r>
      <w:proofErr w:type="spellEnd"/>
      <w:r w:rsidRPr="00A67FFA">
        <w:rPr>
          <w:rFonts w:ascii="Arial Narrow" w:hAnsi="Arial Narrow" w:cstheme="minorHAnsi"/>
          <w:sz w:val="24"/>
          <w:szCs w:val="24"/>
          <w:lang w:val="en-US"/>
        </w:rPr>
        <w:t xml:space="preserve"> et al., 2003</w:t>
      </w:r>
    </w:p>
    <w:p w:rsidR="00A67FFA" w:rsidRPr="004B2C41" w:rsidRDefault="00A67FFA" w:rsidP="00A67F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right="432"/>
        <w:jc w:val="both"/>
        <w:rPr>
          <w:rFonts w:ascii="Arial Narrow" w:hAnsi="Arial Narrow" w:cstheme="minorHAnsi"/>
          <w:sz w:val="24"/>
          <w:szCs w:val="24"/>
          <w:lang w:val="en-US"/>
        </w:rPr>
      </w:pPr>
      <w:r w:rsidRPr="004B2C41">
        <w:rPr>
          <w:rFonts w:ascii="Arial Narrow" w:hAnsi="Arial Narrow" w:cstheme="minorHAnsi"/>
          <w:sz w:val="24"/>
          <w:szCs w:val="24"/>
          <w:lang w:val="en-US"/>
        </w:rPr>
        <w:t>Rasmussen et al., 2007</w:t>
      </w:r>
    </w:p>
    <w:p w:rsidR="00A67FFA" w:rsidRPr="004B2C41" w:rsidRDefault="00A67FFA" w:rsidP="00A67F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right="432"/>
        <w:jc w:val="both"/>
        <w:rPr>
          <w:rFonts w:ascii="Arial Narrow" w:hAnsi="Arial Narrow" w:cstheme="minorHAnsi"/>
          <w:sz w:val="24"/>
          <w:szCs w:val="24"/>
          <w:lang w:val="en-US"/>
        </w:rPr>
      </w:pPr>
      <w:r w:rsidRPr="004B2C41">
        <w:rPr>
          <w:rFonts w:ascii="Arial Narrow" w:hAnsi="Arial Narrow" w:cstheme="minorHAnsi"/>
          <w:sz w:val="24"/>
          <w:szCs w:val="24"/>
          <w:lang w:val="en-US"/>
        </w:rPr>
        <w:t>World Health Organization, 2003</w:t>
      </w:r>
    </w:p>
    <w:p w:rsidR="00A67FFA" w:rsidRPr="006E7A0A" w:rsidRDefault="00A67FFA" w:rsidP="00A67F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right="432"/>
        <w:jc w:val="both"/>
        <w:rPr>
          <w:rFonts w:ascii="Arial Narrow" w:hAnsi="Arial Narrow" w:cstheme="minorHAnsi"/>
          <w:sz w:val="24"/>
          <w:szCs w:val="24"/>
          <w:lang w:val="fr-CH"/>
        </w:rPr>
      </w:pPr>
      <w:proofErr w:type="spellStart"/>
      <w:r w:rsidRPr="006E7A0A">
        <w:rPr>
          <w:rFonts w:ascii="Arial Narrow" w:hAnsi="Arial Narrow" w:cstheme="minorHAnsi"/>
          <w:sz w:val="24"/>
          <w:szCs w:val="24"/>
          <w:lang w:val="fr-CH"/>
        </w:rPr>
        <w:t>Jackevicius</w:t>
      </w:r>
      <w:proofErr w:type="spellEnd"/>
      <w:r w:rsidRPr="006E7A0A">
        <w:rPr>
          <w:rFonts w:ascii="Arial Narrow" w:hAnsi="Arial Narrow" w:cstheme="minorHAnsi"/>
          <w:sz w:val="24"/>
          <w:szCs w:val="24"/>
          <w:lang w:val="fr-CH"/>
        </w:rPr>
        <w:t xml:space="preserve"> et al., 2007; </w:t>
      </w:r>
      <w:proofErr w:type="spellStart"/>
      <w:r w:rsidRPr="006E7A0A">
        <w:rPr>
          <w:rFonts w:ascii="Arial Narrow" w:hAnsi="Arial Narrow" w:cstheme="minorHAnsi"/>
          <w:sz w:val="24"/>
          <w:szCs w:val="24"/>
          <w:lang w:val="fr-CH"/>
        </w:rPr>
        <w:t>Jackevicius</w:t>
      </w:r>
      <w:proofErr w:type="spellEnd"/>
      <w:r w:rsidRPr="006E7A0A">
        <w:rPr>
          <w:rFonts w:ascii="Arial Narrow" w:hAnsi="Arial Narrow" w:cstheme="minorHAnsi"/>
          <w:sz w:val="24"/>
          <w:szCs w:val="24"/>
          <w:lang w:val="fr-CH"/>
        </w:rPr>
        <w:t xml:space="preserve"> et al., 2008</w:t>
      </w:r>
    </w:p>
    <w:p w:rsidR="00A67FFA" w:rsidRPr="004B2C41" w:rsidRDefault="007750E3" w:rsidP="00A67FFA">
      <w:pPr>
        <w:pStyle w:val="ListParagraph"/>
        <w:numPr>
          <w:ilvl w:val="0"/>
          <w:numId w:val="3"/>
        </w:numPr>
        <w:shd w:val="clear" w:color="auto" w:fill="FFFFFF"/>
        <w:spacing w:before="120" w:after="120" w:line="360" w:lineRule="auto"/>
        <w:ind w:right="432"/>
        <w:jc w:val="both"/>
        <w:rPr>
          <w:rFonts w:ascii="Arial Narrow" w:hAnsi="Arial Narrow" w:cstheme="minorHAnsi"/>
          <w:sz w:val="24"/>
          <w:szCs w:val="24"/>
          <w:lang w:val="en-US"/>
        </w:rPr>
      </w:pPr>
      <w:hyperlink r:id="rId16" w:tooltip="Pharmacoepidemiology and drug safety." w:history="1">
        <w:proofErr w:type="spellStart"/>
        <w:r w:rsidR="00A67FFA" w:rsidRPr="004B2C41">
          <w:rPr>
            <w:rStyle w:val="Hyperlink"/>
            <w:rFonts w:ascii="Arial Narrow" w:hAnsi="Arial Narrow" w:cstheme="minorHAnsi"/>
            <w:color w:val="auto"/>
            <w:sz w:val="24"/>
            <w:szCs w:val="24"/>
            <w:lang w:val="en-US"/>
          </w:rPr>
          <w:t>Pharmacoepidemiol</w:t>
        </w:r>
        <w:proofErr w:type="spellEnd"/>
        <w:r w:rsidR="00A67FFA" w:rsidRPr="004B2C41">
          <w:rPr>
            <w:rStyle w:val="Hyperlink"/>
            <w:rFonts w:ascii="Arial Narrow" w:hAnsi="Arial Narrow" w:cstheme="minorHAnsi"/>
            <w:color w:val="auto"/>
            <w:sz w:val="24"/>
            <w:szCs w:val="24"/>
            <w:lang w:val="en-US"/>
          </w:rPr>
          <w:t xml:space="preserve"> Drug </w:t>
        </w:r>
        <w:proofErr w:type="spellStart"/>
        <w:r w:rsidR="00A67FFA" w:rsidRPr="004B2C41">
          <w:rPr>
            <w:rStyle w:val="Hyperlink"/>
            <w:rFonts w:ascii="Arial Narrow" w:hAnsi="Arial Narrow" w:cstheme="minorHAnsi"/>
            <w:color w:val="auto"/>
            <w:sz w:val="24"/>
            <w:szCs w:val="24"/>
            <w:lang w:val="en-US"/>
          </w:rPr>
          <w:t>Saf</w:t>
        </w:r>
        <w:proofErr w:type="spellEnd"/>
        <w:r w:rsidR="00A67FFA" w:rsidRPr="004B2C41">
          <w:rPr>
            <w:rStyle w:val="Hyperlink"/>
            <w:rFonts w:ascii="Arial Narrow" w:hAnsi="Arial Narrow" w:cstheme="minorHAnsi"/>
            <w:color w:val="auto"/>
            <w:sz w:val="24"/>
            <w:szCs w:val="24"/>
            <w:lang w:val="en-US"/>
          </w:rPr>
          <w:t>.</w:t>
        </w:r>
      </w:hyperlink>
      <w:r w:rsidR="00A67FFA" w:rsidRPr="004B2C41">
        <w:rPr>
          <w:rFonts w:ascii="Arial Narrow" w:hAnsi="Arial Narrow" w:cstheme="minorHAnsi"/>
          <w:sz w:val="24"/>
          <w:szCs w:val="24"/>
          <w:lang w:val="en-US"/>
        </w:rPr>
        <w:t xml:space="preserve"> 2015 Oct;24(10):1093-104. </w:t>
      </w:r>
    </w:p>
    <w:p w:rsidR="00A67FFA" w:rsidRPr="004B2C41" w:rsidRDefault="00A67FFA" w:rsidP="00A67FFA">
      <w:pPr>
        <w:pStyle w:val="ListParagraph"/>
        <w:numPr>
          <w:ilvl w:val="0"/>
          <w:numId w:val="3"/>
        </w:numPr>
        <w:shd w:val="clear" w:color="auto" w:fill="FFFFFF"/>
        <w:spacing w:before="120" w:after="120" w:line="360" w:lineRule="auto"/>
        <w:ind w:right="432"/>
        <w:jc w:val="both"/>
        <w:rPr>
          <w:rFonts w:ascii="Arial Narrow" w:hAnsi="Arial Narrow" w:cs="Arial"/>
          <w:shd w:val="clear" w:color="auto" w:fill="FFFFFF"/>
          <w:lang w:val="en-US"/>
        </w:rPr>
      </w:pPr>
      <w:proofErr w:type="spellStart"/>
      <w:r w:rsidRPr="004B2C41">
        <w:rPr>
          <w:rFonts w:ascii="Arial Narrow" w:hAnsi="Arial Narrow" w:cs="Arial"/>
          <w:shd w:val="clear" w:color="auto" w:fill="FFFFFF"/>
          <w:lang w:val="en-US"/>
        </w:rPr>
        <w:t>Eur</w:t>
      </w:r>
      <w:proofErr w:type="spellEnd"/>
      <w:r w:rsidRPr="004B2C41">
        <w:rPr>
          <w:rFonts w:ascii="Arial Narrow" w:hAnsi="Arial Narrow" w:cs="Arial"/>
          <w:shd w:val="clear" w:color="auto" w:fill="FFFFFF"/>
          <w:lang w:val="en-US"/>
        </w:rPr>
        <w:t xml:space="preserve"> J </w:t>
      </w:r>
      <w:proofErr w:type="spellStart"/>
      <w:r w:rsidRPr="004B2C41">
        <w:rPr>
          <w:rFonts w:ascii="Arial Narrow" w:hAnsi="Arial Narrow" w:cs="Arial"/>
          <w:shd w:val="clear" w:color="auto" w:fill="FFFFFF"/>
          <w:lang w:val="en-US"/>
        </w:rPr>
        <w:t>Prev</w:t>
      </w:r>
      <w:proofErr w:type="spellEnd"/>
      <w:r w:rsidRPr="004B2C41"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 w:rsidRPr="004B2C41">
        <w:rPr>
          <w:rFonts w:ascii="Arial Narrow" w:hAnsi="Arial Narrow" w:cs="Arial"/>
          <w:shd w:val="clear" w:color="auto" w:fill="FFFFFF"/>
          <w:lang w:val="en-US"/>
        </w:rPr>
        <w:t>Cardiol</w:t>
      </w:r>
      <w:proofErr w:type="spellEnd"/>
      <w:r w:rsidRPr="004B2C41">
        <w:rPr>
          <w:rFonts w:ascii="Arial Narrow" w:hAnsi="Arial Narrow" w:cs="Arial"/>
          <w:shd w:val="clear" w:color="auto" w:fill="FFFFFF"/>
          <w:lang w:val="en-US"/>
        </w:rPr>
        <w:t>. 2016 Jun;23(9):975-85</w:t>
      </w:r>
    </w:p>
    <w:p w:rsidR="00A67FFA" w:rsidRDefault="00A67FFA" w:rsidP="00A67FFA">
      <w:pPr>
        <w:pStyle w:val="ListParagraph"/>
        <w:numPr>
          <w:ilvl w:val="0"/>
          <w:numId w:val="3"/>
        </w:numPr>
        <w:shd w:val="clear" w:color="auto" w:fill="FFFFFF"/>
        <w:spacing w:before="120" w:after="120" w:line="360" w:lineRule="auto"/>
        <w:ind w:right="432"/>
        <w:jc w:val="both"/>
        <w:rPr>
          <w:rFonts w:ascii="Arial Narrow" w:hAnsi="Arial Narrow" w:cstheme="minorHAnsi"/>
          <w:sz w:val="24"/>
          <w:szCs w:val="24"/>
          <w:lang w:val="en-US"/>
        </w:rPr>
      </w:pPr>
      <w:proofErr w:type="spellStart"/>
      <w:r w:rsidRPr="004B2C41">
        <w:rPr>
          <w:rFonts w:ascii="Arial Narrow" w:hAnsi="Arial Narrow" w:cstheme="minorHAnsi"/>
          <w:sz w:val="24"/>
          <w:szCs w:val="24"/>
          <w:lang w:val="en-US"/>
        </w:rPr>
        <w:t>Jackevicius</w:t>
      </w:r>
      <w:proofErr w:type="spellEnd"/>
      <w:r w:rsidRPr="004B2C41">
        <w:rPr>
          <w:rFonts w:ascii="Arial Narrow" w:hAnsi="Arial Narrow" w:cstheme="minorHAnsi"/>
          <w:sz w:val="24"/>
          <w:szCs w:val="24"/>
          <w:lang w:val="en-US"/>
        </w:rPr>
        <w:t xml:space="preserve"> et al., 2002</w:t>
      </w:r>
    </w:p>
    <w:p w:rsidR="00A67FFA" w:rsidRDefault="00A67FFA" w:rsidP="00A67F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right="432"/>
        <w:jc w:val="both"/>
        <w:rPr>
          <w:rFonts w:ascii="Arial Narrow" w:hAnsi="Arial Narrow" w:cstheme="minorHAnsi"/>
          <w:sz w:val="24"/>
          <w:szCs w:val="24"/>
          <w:lang w:val="en-US"/>
        </w:rPr>
      </w:pPr>
      <w:r w:rsidRPr="004B2C41">
        <w:rPr>
          <w:rFonts w:ascii="Arial Narrow" w:hAnsi="Arial Narrow" w:cstheme="minorHAnsi"/>
          <w:sz w:val="24"/>
          <w:szCs w:val="24"/>
          <w:lang w:val="en-US"/>
        </w:rPr>
        <w:t xml:space="preserve">Mini et al., 2012 </w:t>
      </w:r>
    </w:p>
    <w:p w:rsidR="00A67FFA" w:rsidRPr="006E7A0A" w:rsidRDefault="00A67FFA" w:rsidP="00A67F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right="432"/>
        <w:jc w:val="both"/>
        <w:rPr>
          <w:rFonts w:ascii="Arial Narrow" w:hAnsi="Arial Narrow" w:cstheme="minorHAnsi"/>
          <w:sz w:val="24"/>
          <w:szCs w:val="24"/>
          <w:lang w:val="fr-CH"/>
        </w:rPr>
      </w:pPr>
      <w:r w:rsidRPr="006E7A0A">
        <w:rPr>
          <w:rFonts w:ascii="Arial Narrow" w:hAnsi="Arial Narrow" w:cstheme="minorHAnsi"/>
          <w:sz w:val="24"/>
          <w:szCs w:val="24"/>
          <w:lang w:val="fr-CH"/>
        </w:rPr>
        <w:t xml:space="preserve">Stone et al., 2001; </w:t>
      </w:r>
      <w:proofErr w:type="spellStart"/>
      <w:r w:rsidRPr="006E7A0A">
        <w:rPr>
          <w:rFonts w:ascii="Arial Narrow" w:hAnsi="Arial Narrow" w:cstheme="minorHAnsi"/>
          <w:sz w:val="24"/>
          <w:szCs w:val="24"/>
          <w:lang w:val="fr-CH"/>
        </w:rPr>
        <w:t>Golin</w:t>
      </w:r>
      <w:proofErr w:type="spellEnd"/>
      <w:r w:rsidRPr="006E7A0A">
        <w:rPr>
          <w:rFonts w:ascii="Arial Narrow" w:hAnsi="Arial Narrow" w:cstheme="minorHAnsi"/>
          <w:sz w:val="24"/>
          <w:szCs w:val="24"/>
          <w:lang w:val="fr-CH"/>
        </w:rPr>
        <w:t xml:space="preserve"> et al., 2002 </w:t>
      </w:r>
    </w:p>
    <w:p w:rsidR="00452FF8" w:rsidRPr="006E7A0A" w:rsidRDefault="00452FF8" w:rsidP="00226F52">
      <w:pPr>
        <w:autoSpaceDE w:val="0"/>
        <w:autoSpaceDN w:val="0"/>
        <w:adjustRightInd w:val="0"/>
        <w:spacing w:before="120" w:after="120" w:line="360" w:lineRule="auto"/>
        <w:ind w:left="90" w:right="432"/>
        <w:jc w:val="both"/>
        <w:rPr>
          <w:rFonts w:ascii="Arial Narrow" w:hAnsi="Arial Narrow" w:cstheme="minorHAnsi"/>
          <w:sz w:val="24"/>
          <w:szCs w:val="24"/>
          <w:lang w:val="fr-CH"/>
        </w:rPr>
      </w:pPr>
    </w:p>
    <w:sectPr w:rsidR="00452FF8" w:rsidRPr="006E7A0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0E3" w:rsidRDefault="007750E3" w:rsidP="002A5990">
      <w:pPr>
        <w:spacing w:after="0" w:line="240" w:lineRule="auto"/>
      </w:pPr>
      <w:r>
        <w:separator/>
      </w:r>
    </w:p>
  </w:endnote>
  <w:endnote w:type="continuationSeparator" w:id="0">
    <w:p w:rsidR="007750E3" w:rsidRDefault="007750E3" w:rsidP="002A5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90" w:rsidRDefault="002A59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90" w:rsidRDefault="002A59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90" w:rsidRDefault="002A59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0E3" w:rsidRDefault="007750E3" w:rsidP="002A5990">
      <w:pPr>
        <w:spacing w:after="0" w:line="240" w:lineRule="auto"/>
      </w:pPr>
      <w:r>
        <w:separator/>
      </w:r>
    </w:p>
  </w:footnote>
  <w:footnote w:type="continuationSeparator" w:id="0">
    <w:p w:rsidR="007750E3" w:rsidRDefault="007750E3" w:rsidP="002A5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90" w:rsidRDefault="002A59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90" w:rsidRDefault="002A59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90" w:rsidRDefault="002A59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4A8D"/>
    <w:multiLevelType w:val="hybridMultilevel"/>
    <w:tmpl w:val="868C50F4"/>
    <w:lvl w:ilvl="0" w:tplc="A7D88194">
      <w:start w:val="1"/>
      <w:numFmt w:val="decimal"/>
      <w:lvlText w:val="(%1)"/>
      <w:lvlJc w:val="left"/>
      <w:pPr>
        <w:ind w:left="450" w:hanging="360"/>
      </w:pPr>
      <w:rPr>
        <w:rFonts w:hint="default"/>
        <w:color w:val="0080A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B721892"/>
    <w:multiLevelType w:val="hybridMultilevel"/>
    <w:tmpl w:val="61268608"/>
    <w:lvl w:ilvl="0" w:tplc="5D005C46">
      <w:start w:val="1"/>
      <w:numFmt w:val="decimal"/>
      <w:lvlText w:val="(%1)"/>
      <w:lvlJc w:val="left"/>
      <w:pPr>
        <w:ind w:left="45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47EA25DF"/>
    <w:multiLevelType w:val="hybridMultilevel"/>
    <w:tmpl w:val="010C8DF6"/>
    <w:lvl w:ilvl="0" w:tplc="BA62B7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C3NDU1MzE2NDExMjFR0lEKTi0uzszPAykwrAUA/bdSEywAAAA="/>
  </w:docVars>
  <w:rsids>
    <w:rsidRoot w:val="00F8596A"/>
    <w:rsid w:val="00094286"/>
    <w:rsid w:val="001D15D7"/>
    <w:rsid w:val="001D731D"/>
    <w:rsid w:val="001E4E79"/>
    <w:rsid w:val="00224D29"/>
    <w:rsid w:val="00226F52"/>
    <w:rsid w:val="0028705F"/>
    <w:rsid w:val="002A5990"/>
    <w:rsid w:val="00341280"/>
    <w:rsid w:val="003F26D9"/>
    <w:rsid w:val="004136F6"/>
    <w:rsid w:val="00423C7A"/>
    <w:rsid w:val="00452FF8"/>
    <w:rsid w:val="004613F7"/>
    <w:rsid w:val="00487FA4"/>
    <w:rsid w:val="005652FD"/>
    <w:rsid w:val="005724D2"/>
    <w:rsid w:val="00600E5B"/>
    <w:rsid w:val="006C2591"/>
    <w:rsid w:val="006E7A0A"/>
    <w:rsid w:val="00701637"/>
    <w:rsid w:val="00737C5B"/>
    <w:rsid w:val="007467B1"/>
    <w:rsid w:val="007750E3"/>
    <w:rsid w:val="00797417"/>
    <w:rsid w:val="007B0358"/>
    <w:rsid w:val="007C3C25"/>
    <w:rsid w:val="008D01AE"/>
    <w:rsid w:val="008D2387"/>
    <w:rsid w:val="00972428"/>
    <w:rsid w:val="009C2C81"/>
    <w:rsid w:val="00A01669"/>
    <w:rsid w:val="00A31E3A"/>
    <w:rsid w:val="00A46217"/>
    <w:rsid w:val="00A64F66"/>
    <w:rsid w:val="00A67FFA"/>
    <w:rsid w:val="00A72145"/>
    <w:rsid w:val="00B3389A"/>
    <w:rsid w:val="00CB401E"/>
    <w:rsid w:val="00DD247F"/>
    <w:rsid w:val="00E870A0"/>
    <w:rsid w:val="00EB073A"/>
    <w:rsid w:val="00F109CC"/>
    <w:rsid w:val="00F23EA4"/>
    <w:rsid w:val="00F73146"/>
    <w:rsid w:val="00F84A54"/>
    <w:rsid w:val="00F8596A"/>
    <w:rsid w:val="00F91565"/>
    <w:rsid w:val="00F9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4213D-A5C4-4181-AFA3-1A590BE1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2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26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yiv8751767517msonospacing">
    <w:name w:val="yiv8751767517msonospacing"/>
    <w:basedOn w:val="Normal"/>
    <w:rsid w:val="00DD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highlight">
    <w:name w:val="highlight"/>
    <w:basedOn w:val="DefaultParagraphFont"/>
    <w:rsid w:val="003F26D9"/>
  </w:style>
  <w:style w:type="character" w:customStyle="1" w:styleId="Heading1Char">
    <w:name w:val="Heading 1 Char"/>
    <w:basedOn w:val="DefaultParagraphFont"/>
    <w:link w:val="Heading1"/>
    <w:uiPriority w:val="9"/>
    <w:rsid w:val="003F26D9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Hyperlink">
    <w:name w:val="Hyperlink"/>
    <w:basedOn w:val="DefaultParagraphFont"/>
    <w:uiPriority w:val="99"/>
    <w:unhideWhenUsed/>
    <w:rsid w:val="003F26D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26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AE"/>
    <w:rPr>
      <w:rFonts w:ascii="Segoe UI" w:hAnsi="Segoe UI" w:cs="Segoe UI"/>
      <w:sz w:val="18"/>
      <w:szCs w:val="18"/>
    </w:rPr>
  </w:style>
  <w:style w:type="paragraph" w:customStyle="1" w:styleId="yiv8755249185msonormal">
    <w:name w:val="yiv8755249185msonormal"/>
    <w:basedOn w:val="Normal"/>
    <w:rsid w:val="0041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ListParagraph">
    <w:name w:val="List Paragraph"/>
    <w:basedOn w:val="Normal"/>
    <w:uiPriority w:val="34"/>
    <w:qFormat/>
    <w:rsid w:val="007B03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990"/>
  </w:style>
  <w:style w:type="paragraph" w:styleId="Footer">
    <w:name w:val="footer"/>
    <w:basedOn w:val="Normal"/>
    <w:link w:val="FooterChar"/>
    <w:uiPriority w:val="99"/>
    <w:unhideWhenUsed/>
    <w:rsid w:val="002A5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886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fac.org.ar/1/cong/2018/" TargetMode="Externa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26183333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987</Words>
  <Characters>5432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Cohen Arazi</dc:creator>
  <cp:keywords/>
  <dc:description/>
  <cp:lastModifiedBy>Pilar Millan</cp:lastModifiedBy>
  <cp:revision>16</cp:revision>
  <cp:lastPrinted>2018-04-30T15:04:00Z</cp:lastPrinted>
  <dcterms:created xsi:type="dcterms:W3CDTF">2018-04-30T11:51:00Z</dcterms:created>
  <dcterms:modified xsi:type="dcterms:W3CDTF">2018-05-01T18:51:00Z</dcterms:modified>
</cp:coreProperties>
</file>